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E0336" w14:textId="77777777" w:rsidR="00B54A3D" w:rsidRDefault="00D942AF" w:rsidP="00E811A4">
      <w:bookmarkStart w:id="0" w:name="_GoBack"/>
      <w:bookmarkEnd w:id="0"/>
      <w:r>
        <w:rPr>
          <w:noProof/>
          <w:lang w:val="en-US"/>
        </w:rPr>
        <w:pict w14:anchorId="643D7CB3">
          <v:group id="Group 35" o:spid="_x0000_s1026" style="position:absolute;left:0;text-align:left;margin-left:-107.3pt;margin-top:-36pt;width:261.5pt;height:12.5pt;z-index:251657216;mso-width-relative:margin" coordsize="33213,1587">
            <v:rect id="Rectangle 2" o:spid="_x0000_s1027" style="position:absolute;width:20999;height:1587;visibility:visible;mso-wrap-style:square;v-text-anchor:middle" fillcolor="#005baa" stroked="f" strokeweight="2pt"/>
            <v:rect id="Rectangle 3" o:spid="_x0000_s1028" style="position:absolute;left:20859;width:4153;height:1586;visibility:visible;mso-wrap-style:square;v-text-anchor:middle" fillcolor="#faa61a" stroked="f" strokeweight="2pt"/>
            <v:rect id="Rectangle 4" o:spid="_x0000_s1029" style="position:absolute;left:24955;width:4153;height:1586;visibility:visible;mso-wrap-style:square;v-text-anchor:middle" fillcolor="#70bf54" stroked="f" strokeweight="2pt"/>
            <v:rect id="Rectangle 5" o:spid="_x0000_s1030" style="position:absolute;left:29060;width:4153;height:1586;visibility:visible;mso-wrap-style:square;v-text-anchor:middle" fillcolor="#00b5d5" stroked="f" strokeweight="2pt"/>
          </v:group>
        </w:pict>
      </w:r>
      <w:r w:rsidR="000C5E74">
        <w:rPr>
          <w:noProof/>
          <w:lang w:val="en-US" w:eastAsia="en-US"/>
        </w:rPr>
        <w:drawing>
          <wp:anchor distT="0" distB="0" distL="114300" distR="114300" simplePos="0" relativeHeight="251661312" behindDoc="0" locked="0" layoutInCell="1" allowOverlap="1" wp14:anchorId="25E5C6BB" wp14:editId="7B05B664">
            <wp:simplePos x="0" y="0"/>
            <wp:positionH relativeFrom="column">
              <wp:posOffset>4436745</wp:posOffset>
            </wp:positionH>
            <wp:positionV relativeFrom="paragraph">
              <wp:posOffset>6350</wp:posOffset>
            </wp:positionV>
            <wp:extent cx="692785" cy="6026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a.jpg"/>
                    <pic:cNvPicPr/>
                  </pic:nvPicPr>
                  <pic:blipFill rotWithShape="1">
                    <a:blip r:embed="rId12">
                      <a:extLst>
                        <a:ext uri="{28A0092B-C50C-407E-A947-70E740481C1C}">
                          <a14:useLocalDpi xmlns:a14="http://schemas.microsoft.com/office/drawing/2010/main" val="0"/>
                        </a:ext>
                      </a:extLst>
                    </a:blip>
                    <a:srcRect l="4057" t="10264" r="67954" b="12685"/>
                    <a:stretch/>
                  </pic:blipFill>
                  <pic:spPr bwMode="auto">
                    <a:xfrm>
                      <a:off x="0" y="0"/>
                      <a:ext cx="692785"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E74">
        <w:rPr>
          <w:noProof/>
          <w:lang w:val="en-US" w:eastAsia="en-US"/>
        </w:rPr>
        <w:drawing>
          <wp:anchor distT="0" distB="0" distL="114300" distR="114300" simplePos="0" relativeHeight="251660288" behindDoc="0" locked="0" layoutInCell="1" allowOverlap="1" wp14:anchorId="25331EF4" wp14:editId="35373D99">
            <wp:simplePos x="0" y="0"/>
            <wp:positionH relativeFrom="column">
              <wp:posOffset>3021330</wp:posOffset>
            </wp:positionH>
            <wp:positionV relativeFrom="paragraph">
              <wp:posOffset>3810</wp:posOffset>
            </wp:positionV>
            <wp:extent cx="548640" cy="5486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2D0AE2">
        <w:rPr>
          <w:noProof/>
          <w:lang w:val="en-US" w:eastAsia="en-US"/>
        </w:rPr>
        <w:drawing>
          <wp:anchor distT="0" distB="0" distL="114300" distR="114300" simplePos="0" relativeHeight="251662336" behindDoc="0" locked="0" layoutInCell="1" allowOverlap="1" wp14:anchorId="2342F0F3" wp14:editId="5A225000">
            <wp:simplePos x="0" y="0"/>
            <wp:positionH relativeFrom="column">
              <wp:posOffset>6062345</wp:posOffset>
            </wp:positionH>
            <wp:positionV relativeFrom="paragraph">
              <wp:posOffset>3810</wp:posOffset>
            </wp:positionV>
            <wp:extent cx="564515" cy="564515"/>
            <wp:effectExtent l="0" t="0" r="698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14:sizeRelH relativeFrom="page">
              <wp14:pctWidth>0</wp14:pctWidth>
            </wp14:sizeRelH>
            <wp14:sizeRelV relativeFrom="page">
              <wp14:pctHeight>0</wp14:pctHeight>
            </wp14:sizeRelV>
          </wp:anchor>
        </w:drawing>
      </w:r>
      <w:r w:rsidR="00F90C82">
        <w:rPr>
          <w:noProof/>
          <w:lang w:val="en-US" w:eastAsia="en-US"/>
        </w:rPr>
        <w:drawing>
          <wp:anchor distT="0" distB="0" distL="114300" distR="114300" simplePos="0" relativeHeight="251658240" behindDoc="0" locked="0" layoutInCell="1" allowOverlap="1" wp14:anchorId="7163F2E7" wp14:editId="226A7F22">
            <wp:simplePos x="0" y="0"/>
            <wp:positionH relativeFrom="column">
              <wp:posOffset>27305</wp:posOffset>
            </wp:positionH>
            <wp:positionV relativeFrom="paragraph">
              <wp:posOffset>-107950</wp:posOffset>
            </wp:positionV>
            <wp:extent cx="1938655" cy="65151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8655" cy="651510"/>
                    </a:xfrm>
                    <a:prstGeom prst="rect">
                      <a:avLst/>
                    </a:prstGeom>
                  </pic:spPr>
                </pic:pic>
              </a:graphicData>
            </a:graphic>
            <wp14:sizeRelH relativeFrom="margin">
              <wp14:pctWidth>0</wp14:pctWidth>
            </wp14:sizeRelH>
            <wp14:sizeRelV relativeFrom="margin">
              <wp14:pctHeight>0</wp14:pctHeight>
            </wp14:sizeRelV>
          </wp:anchor>
        </w:drawing>
      </w:r>
      <w:r w:rsidR="00F90C82">
        <w:rPr>
          <w:noProof/>
          <w:lang w:val="en-US" w:eastAsia="en-US"/>
        </w:rPr>
        <mc:AlternateContent>
          <mc:Choice Requires="wps">
            <w:drawing>
              <wp:anchor distT="0" distB="0" distL="114300" distR="114300" simplePos="0" relativeHeight="251659264" behindDoc="0" locked="0" layoutInCell="1" allowOverlap="1" wp14:anchorId="6A9BEE86" wp14:editId="7B1A8D34">
                <wp:simplePos x="0" y="0"/>
                <wp:positionH relativeFrom="column">
                  <wp:posOffset>682625</wp:posOffset>
                </wp:positionH>
                <wp:positionV relativeFrom="paragraph">
                  <wp:posOffset>-246380</wp:posOffset>
                </wp:positionV>
                <wp:extent cx="1603375" cy="17081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1603375" cy="170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3A962" w14:textId="77777777" w:rsidR="00FA5A51" w:rsidRPr="008566CA" w:rsidRDefault="00FA5A51"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9BEE86" id="_x0000_t202" coordsize="21600,21600" o:spt="202" path="m,l,21600r21600,l21600,xe">
                <v:stroke joinstyle="miter"/>
                <v:path gradientshapeok="t" o:connecttype="rect"/>
              </v:shapetype>
              <v:shape id="Text Box 8" o:spid="_x0000_s1026" type="#_x0000_t202" style="position:absolute;left:0;text-align:left;margin-left:53.75pt;margin-top:-19.4pt;width:126.25pt;height:1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" fillcolor="white [3201]" stroked="f" strokeweight=".5pt">
                <v:textbox inset="0,0,0,0">
                  <w:txbxContent>
                    <w:p w14:paraId="3853A962" w14:textId="77777777" w:rsidR="00FA5A51" w:rsidRPr="008566CA" w:rsidRDefault="00FA5A51"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v:textbox>
              </v:shape>
            </w:pict>
          </mc:Fallback>
        </mc:AlternateContent>
      </w:r>
    </w:p>
    <w:p w14:paraId="48DDFDAB" w14:textId="77777777" w:rsidR="00B54A3D" w:rsidRDefault="00B54A3D" w:rsidP="00E811A4"/>
    <w:p w14:paraId="075954CD" w14:textId="77777777" w:rsidR="00F90C82" w:rsidRDefault="00F90C82" w:rsidP="00E811A4"/>
    <w:p w14:paraId="0917017C" w14:textId="77777777" w:rsidR="002D0AE2" w:rsidRDefault="002D0AE2" w:rsidP="00E811A4">
      <w:pPr>
        <w:pStyle w:val="Title"/>
      </w:pPr>
    </w:p>
    <w:p w14:paraId="52A0B0B0" w14:textId="77777777" w:rsidR="002D0AE2" w:rsidRDefault="002D0AE2" w:rsidP="00E811A4">
      <w:pPr>
        <w:pStyle w:val="Title"/>
      </w:pPr>
    </w:p>
    <w:p w14:paraId="79A72414" w14:textId="77777777" w:rsidR="00F01F86" w:rsidRDefault="00F01F86" w:rsidP="00F01F86"/>
    <w:p w14:paraId="1C2012CC" w14:textId="77777777" w:rsidR="00F01F86" w:rsidRPr="00F01F86" w:rsidRDefault="00F01F86" w:rsidP="00F01F86"/>
    <w:p w14:paraId="157DD595" w14:textId="77777777" w:rsidR="00403990" w:rsidRDefault="00403990" w:rsidP="00E811A4"/>
    <w:p w14:paraId="177774D2" w14:textId="77777777" w:rsidR="002D0AE2" w:rsidRPr="00F01F86" w:rsidRDefault="002D0AE2" w:rsidP="00E811A4">
      <w:pPr>
        <w:pStyle w:val="Title"/>
      </w:pPr>
    </w:p>
    <w:p w14:paraId="5CC95EE6" w14:textId="77777777" w:rsidR="00BC5AD5" w:rsidRPr="004E48B2" w:rsidRDefault="00F01F86" w:rsidP="00F01F86">
      <w:pPr>
        <w:jc w:val="center"/>
        <w:rPr>
          <w:color w:val="005BAA"/>
        </w:rPr>
      </w:pPr>
      <w:r>
        <w:rPr>
          <w:noProof/>
          <w:color w:val="005BAA"/>
          <w:lang w:val="en-US" w:eastAsia="en-US"/>
        </w:rPr>
        <mc:AlternateContent>
          <mc:Choice Requires="wps">
            <w:drawing>
              <wp:anchor distT="0" distB="0" distL="114300" distR="114300" simplePos="0" relativeHeight="251656191" behindDoc="1" locked="0" layoutInCell="1" allowOverlap="1" wp14:anchorId="44A7EDC4" wp14:editId="70A8824B">
                <wp:simplePos x="0" y="0"/>
                <wp:positionH relativeFrom="column">
                  <wp:posOffset>-1038225</wp:posOffset>
                </wp:positionH>
                <wp:positionV relativeFrom="paragraph">
                  <wp:posOffset>27305</wp:posOffset>
                </wp:positionV>
                <wp:extent cx="7810500" cy="2565070"/>
                <wp:effectExtent l="0" t="0" r="0" b="6985"/>
                <wp:wrapNone/>
                <wp:docPr id="12" name="Rectangle 12"/>
                <wp:cNvGraphicFramePr/>
                <a:graphic xmlns:a="http://schemas.openxmlformats.org/drawingml/2006/main">
                  <a:graphicData uri="http://schemas.microsoft.com/office/word/2010/wordprocessingShape">
                    <wps:wsp>
                      <wps:cNvSpPr/>
                      <wps:spPr>
                        <a:xfrm>
                          <a:off x="0" y="0"/>
                          <a:ext cx="7810500" cy="2565070"/>
                        </a:xfrm>
                        <a:prstGeom prst="rect">
                          <a:avLst/>
                        </a:prstGeom>
                        <a:solidFill>
                          <a:srgbClr val="005B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7BC1C5" id="Rectangle 12" o:spid="_x0000_s1026" style="position:absolute;margin-left:-81.75pt;margin-top:2.15pt;width:615pt;height:201.9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" fillcolor="#005baa" stroked="f" strokeweight="2pt"/>
            </w:pict>
          </mc:Fallback>
        </mc:AlternateContent>
      </w:r>
    </w:p>
    <w:p w14:paraId="344A89C1" w14:textId="77777777" w:rsidR="00F01F86" w:rsidRPr="00F01F86" w:rsidRDefault="00F01F86" w:rsidP="00F01F86">
      <w:pPr>
        <w:spacing w:line="800" w:lineRule="exact"/>
        <w:jc w:val="center"/>
        <w:rPr>
          <w:color w:val="FFFFFF" w:themeColor="background1"/>
        </w:rPr>
      </w:pPr>
      <w:r w:rsidRPr="00F01F86">
        <w:rPr>
          <w:color w:val="FFFFFF" w:themeColor="background1"/>
          <w:sz w:val="72"/>
          <w:szCs w:val="72"/>
        </w:rPr>
        <w:t xml:space="preserve">GLOBAL SEASONAL </w:t>
      </w:r>
      <w:r w:rsidRPr="00F01F86">
        <w:rPr>
          <w:color w:val="FFFFFF" w:themeColor="background1"/>
          <w:sz w:val="72"/>
          <w:szCs w:val="72"/>
        </w:rPr>
        <w:br/>
        <w:t>CLIMATE UPDATE</w:t>
      </w:r>
    </w:p>
    <w:p w14:paraId="2A936FAE" w14:textId="77777777" w:rsidR="00F01F86" w:rsidRPr="00F01F86" w:rsidRDefault="00F01F86" w:rsidP="00F01F86">
      <w:pPr>
        <w:jc w:val="center"/>
        <w:rPr>
          <w:color w:val="FFFFFF" w:themeColor="background1"/>
        </w:rPr>
      </w:pPr>
      <w:r w:rsidRPr="00F01F86">
        <w:rPr>
          <w:color w:val="FFFFFF" w:themeColor="background1"/>
          <w:sz w:val="32"/>
          <w:szCs w:val="32"/>
        </w:rPr>
        <w:t>Pre-Operational Phase</w:t>
      </w:r>
    </w:p>
    <w:p w14:paraId="75303362" w14:textId="511EAF1F" w:rsidR="00753B27" w:rsidRPr="00CF277C" w:rsidRDefault="00753B27" w:rsidP="00F01F86">
      <w:pPr>
        <w:spacing w:line="600" w:lineRule="exact"/>
        <w:jc w:val="center"/>
        <w:rPr>
          <w:sz w:val="18"/>
          <w:szCs w:val="18"/>
        </w:rPr>
      </w:pPr>
      <w:r w:rsidRPr="00CF277C">
        <w:rPr>
          <w:noProof/>
          <w:color w:val="005BAA"/>
          <w:sz w:val="18"/>
          <w:szCs w:val="18"/>
          <w:lang w:val="en-US" w:eastAsia="en-US"/>
        </w:rPr>
        <mc:AlternateContent>
          <mc:Choice Requires="wps">
            <w:drawing>
              <wp:anchor distT="0" distB="0" distL="114300" distR="114300" simplePos="0" relativeHeight="251681792" behindDoc="1" locked="0" layoutInCell="1" allowOverlap="1" wp14:anchorId="70B9182B" wp14:editId="07E11D8A">
                <wp:simplePos x="0" y="0"/>
                <wp:positionH relativeFrom="column">
                  <wp:posOffset>967105</wp:posOffset>
                </wp:positionH>
                <wp:positionV relativeFrom="paragraph">
                  <wp:posOffset>76645</wp:posOffset>
                </wp:positionV>
                <wp:extent cx="4773295" cy="359410"/>
                <wp:effectExtent l="0" t="0" r="8255" b="2540"/>
                <wp:wrapNone/>
                <wp:docPr id="40" name="Rectangle 40"/>
                <wp:cNvGraphicFramePr/>
                <a:graphic xmlns:a="http://schemas.openxmlformats.org/drawingml/2006/main">
                  <a:graphicData uri="http://schemas.microsoft.com/office/word/2010/wordprocessingShape">
                    <wps:wsp>
                      <wps:cNvSpPr/>
                      <wps:spPr>
                        <a:xfrm>
                          <a:off x="0" y="0"/>
                          <a:ext cx="4773295" cy="359410"/>
                        </a:xfrm>
                        <a:prstGeom prst="rect">
                          <a:avLst/>
                        </a:prstGeom>
                        <a:solidFill>
                          <a:srgbClr val="FAA6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68478E" id="Rectangle 40" o:spid="_x0000_s1026" style="position:absolute;margin-left:76.15pt;margin-top:6.05pt;width:375.85pt;height:28.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" fillcolor="#faa61a" stroked="f" strokeweight="2pt"/>
            </w:pict>
          </mc:Fallback>
        </mc:AlternateContent>
      </w:r>
      <w:r w:rsidR="0053362F">
        <w:rPr>
          <w:color w:val="005BAA"/>
          <w:sz w:val="28"/>
          <w:szCs w:val="28"/>
        </w:rPr>
        <w:t xml:space="preserve">TARGET SEASON: </w:t>
      </w:r>
      <w:r w:rsidR="00EE3723">
        <w:rPr>
          <w:color w:val="005BAA"/>
          <w:sz w:val="28"/>
          <w:szCs w:val="28"/>
        </w:rPr>
        <w:t>March-April-May 2020</w:t>
      </w:r>
    </w:p>
    <w:p w14:paraId="55303A40" w14:textId="77777777" w:rsidR="002D0AE2" w:rsidRPr="004E48B2" w:rsidRDefault="002D0AE2" w:rsidP="00F01F86">
      <w:pPr>
        <w:spacing w:line="400" w:lineRule="exact"/>
        <w:ind w:left="1701"/>
        <w:jc w:val="center"/>
        <w:rPr>
          <w:color w:val="005BAA"/>
          <w:sz w:val="32"/>
          <w:szCs w:val="32"/>
        </w:rPr>
      </w:pPr>
    </w:p>
    <w:p w14:paraId="363788A2" w14:textId="77777777" w:rsidR="002D0AE2" w:rsidRPr="004E48B2" w:rsidRDefault="002D0AE2" w:rsidP="00253B43">
      <w:pPr>
        <w:ind w:left="2268"/>
        <w:rPr>
          <w:color w:val="005BAA"/>
        </w:rPr>
      </w:pPr>
    </w:p>
    <w:p w14:paraId="0B819176" w14:textId="77777777" w:rsidR="002D0AE2" w:rsidRPr="004E48B2" w:rsidRDefault="002D0AE2" w:rsidP="00E811A4">
      <w:pPr>
        <w:rPr>
          <w:color w:val="005BAA"/>
        </w:rPr>
      </w:pPr>
    </w:p>
    <w:p w14:paraId="04B610D8" w14:textId="77777777" w:rsidR="002D0AE2" w:rsidRDefault="002D0AE2" w:rsidP="00E811A4"/>
    <w:p w14:paraId="57B0F20E" w14:textId="77777777" w:rsidR="00E65B99" w:rsidRDefault="00E65B99" w:rsidP="00E811A4"/>
    <w:p w14:paraId="3A42D6C8" w14:textId="77777777" w:rsidR="002D0AE2" w:rsidRDefault="002D0AE2" w:rsidP="00E811A4"/>
    <w:p w14:paraId="31368C60" w14:textId="77777777" w:rsidR="00D35829" w:rsidRDefault="00D35829" w:rsidP="00E811A4"/>
    <w:p w14:paraId="14B410ED" w14:textId="77777777" w:rsidR="004E48B2" w:rsidRDefault="004E48B2" w:rsidP="00E811A4"/>
    <w:p w14:paraId="5AFA039A" w14:textId="77777777" w:rsidR="004E48B2" w:rsidRDefault="004E48B2" w:rsidP="00E811A4"/>
    <w:p w14:paraId="44690AEE" w14:textId="77777777" w:rsidR="00D35829" w:rsidRDefault="00D35829" w:rsidP="00E811A4"/>
    <w:p w14:paraId="0CD51A17" w14:textId="77777777" w:rsidR="00253B43" w:rsidRDefault="00253B43" w:rsidP="00E811A4"/>
    <w:p w14:paraId="66569EB9" w14:textId="77777777" w:rsidR="00253B43" w:rsidRDefault="00253B43" w:rsidP="00E811A4"/>
    <w:p w14:paraId="24140C28" w14:textId="743C5E44" w:rsidR="00B5602D" w:rsidRPr="008C35C1" w:rsidRDefault="0053362F" w:rsidP="00253B43">
      <w:pPr>
        <w:pBdr>
          <w:bottom w:val="single" w:sz="18" w:space="1" w:color="005BAA"/>
        </w:pBdr>
        <w:jc w:val="center"/>
        <w:rPr>
          <w:b/>
          <w:bCs/>
          <w:sz w:val="24"/>
          <w:szCs w:val="24"/>
        </w:rPr>
      </w:pPr>
      <w:r>
        <w:rPr>
          <w:b/>
          <w:bCs/>
          <w:sz w:val="24"/>
          <w:szCs w:val="24"/>
        </w:rPr>
        <w:t>Issued</w:t>
      </w:r>
      <w:r w:rsidRPr="00EB100A">
        <w:rPr>
          <w:b/>
          <w:bCs/>
          <w:sz w:val="24"/>
          <w:szCs w:val="24"/>
        </w:rPr>
        <w:t xml:space="preserve">: </w:t>
      </w:r>
      <w:r w:rsidR="00CE36C7">
        <w:rPr>
          <w:b/>
          <w:bCs/>
          <w:sz w:val="24"/>
          <w:szCs w:val="24"/>
        </w:rPr>
        <w:t>25</w:t>
      </w:r>
      <w:r w:rsidRPr="00EB100A">
        <w:rPr>
          <w:b/>
          <w:bCs/>
          <w:sz w:val="24"/>
          <w:szCs w:val="24"/>
        </w:rPr>
        <w:t xml:space="preserve"> </w:t>
      </w:r>
      <w:r w:rsidR="00EE3723">
        <w:rPr>
          <w:b/>
          <w:bCs/>
          <w:sz w:val="24"/>
          <w:szCs w:val="24"/>
        </w:rPr>
        <w:t>February 2020</w:t>
      </w:r>
    </w:p>
    <w:p w14:paraId="3023120E" w14:textId="77777777" w:rsidR="0053362F" w:rsidRDefault="00D942AF">
      <w:pPr>
        <w:keepNext w:val="0"/>
        <w:keepLines w:val="0"/>
        <w:spacing w:after="200"/>
        <w:jc w:val="left"/>
        <w:outlineLvl w:val="9"/>
        <w:rPr>
          <w:rFonts w:eastAsiaTheme="majorEastAsia" w:cstheme="majorBidi"/>
          <w:noProof/>
          <w:color w:val="005BAA"/>
          <w:sz w:val="28"/>
          <w:szCs w:val="28"/>
          <w:lang w:val="en-US"/>
        </w:rPr>
      </w:pPr>
      <w:r>
        <w:rPr>
          <w:b/>
          <w:bCs/>
          <w:noProof/>
          <w:sz w:val="24"/>
          <w:szCs w:val="24"/>
          <w:lang w:val="en-US"/>
        </w:rPr>
        <w:pict w14:anchorId="6236EA9B">
          <v:group id="Group 1" o:spid="_x0000_s1038" style="position:absolute;margin-left:-.55pt;margin-top:1.55pt;width:525.5pt;height:31.8pt;z-index:251674624" coordsize="66739,4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2" type="#_x0000_t75" style="position:absolute;left:21613;width:4037;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">
              <v:imagedata r:id="rId16" o:title=""/>
              <v:path arrowok="t"/>
            </v:shape>
            <v:shape id="Picture 13" o:spid="_x0000_s1041" type="#_x0000_t75" style="position:absolute;left:6531;top:712;width:4631;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">
              <v:imagedata r:id="rId17" o:title=""/>
              <v:path arrowok="t"/>
            </v:shape>
            <v:shape id="Picture 14" o:spid="_x0000_s1040" type="#_x0000_t75" style="position:absolute;left:27313;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">
              <v:imagedata r:id="rId18" o:title="" cropright="49375f"/>
              <v:path arrowok="t"/>
            </v:shape>
            <v:shape id="Picture 15" o:spid="_x0000_s1039" type="#_x0000_t75" style="position:absolute;left:63176;top:237;width:3563;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">
              <v:imagedata r:id="rId19" o:title=""/>
              <v:path arrowok="t"/>
            </v:shape>
            <v:shape id="Picture 16" o:spid="_x0000_s1031" type="#_x0000_t75" style="position:absolute;top:237;width:4750;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">
              <v:imagedata r:id="rId20" o:title=""/>
              <v:path arrowok="t"/>
            </v:shape>
            <v:shape id="Picture 18" o:spid="_x0000_s1032" type="#_x0000_t75" style="position:absolute;left:12944;top:1187;width:6887;height:1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">
              <v:imagedata r:id="rId21" o:title="" croptop="34857f" cropbottom="4341f"/>
              <v:path arrowok="t"/>
            </v:shape>
            <v:shape id="Picture 19" o:spid="_x0000_s1033" type="#_x0000_t75" style="position:absolute;left:54982;top:950;width:6413;height:2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">
              <v:imagedata r:id="rId22" o:title=""/>
              <v:path arrowok="t"/>
            </v:shape>
            <v:shape id="Picture 20" o:spid="_x0000_s1034" type="#_x0000_t75" style="position:absolute;left:39188;width:2138;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">
              <v:imagedata r:id="rId23" o:title="" cropleft="55450f"/>
              <v:path arrowok="t"/>
            </v:shape>
            <v:shape id="Picture 21" o:spid="_x0000_s1035" type="#_x0000_t75" style="position:absolute;left:33725;top:118;width:3682;height:3682;visibility:visible;mso-wrap-style:square">
              <v:imagedata r:id="rId24" o:title=""/>
              <v:path arrowok="t"/>
            </v:shape>
            <v:shape id="Picture 22" o:spid="_x0000_s1036" type="#_x0000_t75" style="position:absolute;left:43107;top:237;width:3681;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">
              <v:imagedata r:id="rId25" o:title="" croptop="8108f" cropbottom="7769f" cropleft="15877f" cropright="15877f"/>
              <v:path arrowok="t"/>
            </v:shape>
            <v:shape id="Picture 23" o:spid="_x0000_s1037" type="#_x0000_t75" style="position:absolute;left:48570;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">
              <v:imagedata r:id="rId26" o:title="" croptop="7048f" cropbottom="8091f" cropleft="12872f" cropright="14049f"/>
              <v:path arrowok="t"/>
            </v:shape>
          </v:group>
        </w:pict>
      </w:r>
      <w:r w:rsidR="0053362F">
        <w:br w:type="page"/>
      </w:r>
    </w:p>
    <w:p w14:paraId="4C786D6A" w14:textId="77777777" w:rsidR="00B54A3D" w:rsidRPr="0086049D" w:rsidRDefault="002D0AE2" w:rsidP="00E811A4">
      <w:pPr>
        <w:pStyle w:val="Heading1"/>
      </w:pPr>
      <w:r>
        <w:lastRenderedPageBreak/>
        <w:t>Summary</w:t>
      </w:r>
      <w:r w:rsidR="00B54A3D" w:rsidRPr="0086049D">
        <w:t xml:space="preserve"> </w:t>
      </w:r>
    </w:p>
    <w:p w14:paraId="27053857" w14:textId="24C6D9D9" w:rsidR="004C62AD" w:rsidRDefault="004C62AD" w:rsidP="00816128">
      <w:r w:rsidRPr="0057036B">
        <w:t xml:space="preserve">Observed sea surface temperatures </w:t>
      </w:r>
      <w:r>
        <w:t xml:space="preserve">anomalies </w:t>
      </w:r>
      <w:r w:rsidRPr="0057036B">
        <w:t xml:space="preserve">in the east-central topical Pacific were </w:t>
      </w:r>
      <w:r>
        <w:t xml:space="preserve">in a neutral </w:t>
      </w:r>
      <w:r w:rsidRPr="0057036B">
        <w:t xml:space="preserve">El Niño </w:t>
      </w:r>
      <w:r>
        <w:t xml:space="preserve">condition during </w:t>
      </w:r>
      <w:r w:rsidR="00606B85">
        <w:t xml:space="preserve">November 2019-January 2020 with </w:t>
      </w:r>
      <w:r w:rsidR="00396108">
        <w:t>somewhat</w:t>
      </w:r>
      <w:r w:rsidR="00606B85">
        <w:t xml:space="preserve"> </w:t>
      </w:r>
      <w:r w:rsidR="008C5C37">
        <w:t xml:space="preserve">above-normal </w:t>
      </w:r>
      <w:r w:rsidR="00606B85">
        <w:t>conditions near the date line</w:t>
      </w:r>
      <w:r w:rsidRPr="0057036B">
        <w:t xml:space="preserve">. </w:t>
      </w:r>
      <w:r>
        <w:t xml:space="preserve">However, a notable feature was a strong positive phase </w:t>
      </w:r>
      <w:r w:rsidR="00396108">
        <w:t xml:space="preserve">of </w:t>
      </w:r>
      <w:r>
        <w:t xml:space="preserve">the Indian Ocean Dipole (IOD) with large below-normal sea surface temperature anomalies in the eastern Indian Ocean south of Indonesian Archipelago. </w:t>
      </w:r>
      <w:r w:rsidR="009462B7">
        <w:t xml:space="preserve">The strength of the IOD, however, declined from previous months. </w:t>
      </w:r>
      <w:r w:rsidRPr="0057036B">
        <w:t xml:space="preserve">The sea surface temperatures in the Niño 3.4 and Niño 3 regions, both of which are often used to </w:t>
      </w:r>
      <w:r>
        <w:t>characterize</w:t>
      </w:r>
      <w:r w:rsidRPr="0057036B">
        <w:t xml:space="preserve"> ENSO condition</w:t>
      </w:r>
      <w:r>
        <w:t>s</w:t>
      </w:r>
      <w:r w:rsidRPr="0057036B">
        <w:t>, are p</w:t>
      </w:r>
      <w:r>
        <w:t>redicted to decrease from approximately 0.</w:t>
      </w:r>
      <w:r w:rsidR="00047097">
        <w:t>5</w:t>
      </w:r>
      <w:r>
        <w:t xml:space="preserve"> </w:t>
      </w:r>
      <w:r w:rsidR="00047097">
        <w:t xml:space="preserve">or 0.6 </w:t>
      </w:r>
      <w:r>
        <w:t>to 0.</w:t>
      </w:r>
      <w:r w:rsidR="00047097">
        <w:t>3</w:t>
      </w:r>
      <w:r>
        <w:t xml:space="preserve"> </w:t>
      </w:r>
      <w:r w:rsidR="00047097">
        <w:t xml:space="preserve">or 0.4 </w:t>
      </w:r>
      <w:r w:rsidRPr="0057036B">
        <w:rPr>
          <w:rFonts w:ascii="Symbol" w:eastAsia="Symbol" w:hAnsi="Symbol" w:cs="Symbol"/>
        </w:rPr>
        <w:t></w:t>
      </w:r>
      <w:r w:rsidRPr="0057036B">
        <w:t>C during the</w:t>
      </w:r>
      <w:r>
        <w:t xml:space="preserve"> </w:t>
      </w:r>
      <w:r w:rsidR="00047097">
        <w:t>March-May</w:t>
      </w:r>
      <w:r>
        <w:t xml:space="preserve"> 2020 season</w:t>
      </w:r>
      <w:r w:rsidRPr="0057036B">
        <w:t xml:space="preserve">, and hence, </w:t>
      </w:r>
      <w:r>
        <w:t>are expected to remain in a near-average range</w:t>
      </w:r>
      <w:r w:rsidRPr="0057036B">
        <w:t>.</w:t>
      </w:r>
    </w:p>
    <w:p w14:paraId="4F281903" w14:textId="21F0EF35" w:rsidR="004C62AD" w:rsidRPr="00E811A4" w:rsidRDefault="004C62AD" w:rsidP="004C62AD">
      <w:r w:rsidRPr="00E811A4">
        <w:t>Influences from the expected tendency towards positive sea surface temperature anomalies across sizeable portions of the globe, both in the tropics (</w:t>
      </w:r>
      <w:r>
        <w:t>except for near-average conditions in the central and eastern Pacific</w:t>
      </w:r>
      <w:r w:rsidRPr="00E811A4">
        <w:t>) and extra</w:t>
      </w:r>
      <w:r>
        <w:t>-</w:t>
      </w:r>
      <w:r w:rsidRPr="00E811A4">
        <w:t>tropics, are seen in the temperature forecast for</w:t>
      </w:r>
      <w:r>
        <w:t xml:space="preserve"> </w:t>
      </w:r>
      <w:r w:rsidR="00DE25C7">
        <w:t>March-May 2020</w:t>
      </w:r>
      <w:r w:rsidRPr="00E811A4">
        <w:t>, which leans quite strongly, on average, towards above-normal l</w:t>
      </w:r>
      <w:r>
        <w:t>and temperature, particularly at</w:t>
      </w:r>
      <w:r w:rsidRPr="00E811A4">
        <w:t xml:space="preserve"> tropical latitudes. </w:t>
      </w:r>
      <w:r>
        <w:t xml:space="preserve">The near-average sea surface conditions predicted in much of the eastern equatorial Pacific may </w:t>
      </w:r>
      <w:r w:rsidRPr="00E811A4">
        <w:t xml:space="preserve">noticeably affect the overlying </w:t>
      </w:r>
      <w:r>
        <w:t xml:space="preserve">tropical </w:t>
      </w:r>
      <w:r w:rsidRPr="00E811A4">
        <w:t xml:space="preserve">atmospheric circulation and climate, as they </w:t>
      </w:r>
      <w:r>
        <w:t>participate in</w:t>
      </w:r>
      <w:r w:rsidRPr="00E811A4">
        <w:t xml:space="preserve"> the SST gradients with positive SST anomalies</w:t>
      </w:r>
      <w:r>
        <w:t xml:space="preserve"> in the western Pacific</w:t>
      </w:r>
      <w:r w:rsidRPr="00E811A4">
        <w:t xml:space="preserve">. A global warming trend also </w:t>
      </w:r>
      <w:r>
        <w:t>contributes to</w:t>
      </w:r>
      <w:r w:rsidRPr="00E811A4">
        <w:t xml:space="preserve"> the sea surface temperature and air temperature forecast, </w:t>
      </w:r>
      <w:r>
        <w:t>leading</w:t>
      </w:r>
      <w:r w:rsidRPr="00E811A4">
        <w:t xml:space="preserve"> to a general prevalence towards a positive tilt in anomalies defined using the climatological base period (1993–2009) centred more than 10 years in the past.</w:t>
      </w:r>
    </w:p>
    <w:p w14:paraId="50546CA5" w14:textId="54954703" w:rsidR="004C62AD" w:rsidRPr="0057036B" w:rsidRDefault="004C62AD" w:rsidP="004C62AD">
      <w:r>
        <w:t xml:space="preserve">Near-average precipitation conditions are expected in the central and eastern equatorial Pacific, and an enhanced probability for above normal precipitation is expected </w:t>
      </w:r>
      <w:r w:rsidR="00625DB3">
        <w:t xml:space="preserve">just north of the equator </w:t>
      </w:r>
      <w:r>
        <w:t xml:space="preserve">in the </w:t>
      </w:r>
      <w:r w:rsidR="00F16B4C">
        <w:t>central</w:t>
      </w:r>
      <w:r>
        <w:t xml:space="preserve"> tropical Pacific and southwestern Indian Ocean extending into eastern equatorial Africa. </w:t>
      </w:r>
      <w:r w:rsidRPr="00E811A4">
        <w:t xml:space="preserve">Some tilts of the odds </w:t>
      </w:r>
      <w:r>
        <w:t xml:space="preserve">for precipitation </w:t>
      </w:r>
      <w:r w:rsidRPr="00E811A4">
        <w:t>are likely associated with sea surface temperature anomalies</w:t>
      </w:r>
      <w:r w:rsidR="009F426F">
        <w:t xml:space="preserve">, such as </w:t>
      </w:r>
      <w:r w:rsidR="00484C57">
        <w:t xml:space="preserve">the above-average precipitation in eastern equatorial Africa with </w:t>
      </w:r>
      <w:r w:rsidR="009F426F">
        <w:t>the positive sea surface temperature anomalies</w:t>
      </w:r>
      <w:r w:rsidRPr="00E811A4">
        <w:t xml:space="preserve"> </w:t>
      </w:r>
      <w:r w:rsidR="00F16B4C">
        <w:t xml:space="preserve">in </w:t>
      </w:r>
      <w:r w:rsidR="001B43B1">
        <w:t xml:space="preserve">the </w:t>
      </w:r>
      <w:r w:rsidR="00F16B4C">
        <w:t>western Indian Ocean</w:t>
      </w:r>
      <w:r>
        <w:t>.</w:t>
      </w:r>
      <w:r w:rsidR="00F16B4C">
        <w:t xml:space="preserve"> A southwest to northeast band of below-normal odds for precipitation also stretches from </w:t>
      </w:r>
      <w:r w:rsidR="00B615CD">
        <w:t xml:space="preserve">the </w:t>
      </w:r>
      <w:r w:rsidR="00F16B4C">
        <w:t xml:space="preserve">western tropical to northern extratropical Pacific. </w:t>
      </w:r>
      <w:r w:rsidR="00C61164">
        <w:t>An e</w:t>
      </w:r>
      <w:r w:rsidR="00F16B4C">
        <w:t>nhanced probability for below-normal precipitation is predicted for</w:t>
      </w:r>
      <w:r w:rsidR="00C61164">
        <w:t xml:space="preserve"> northern South America,</w:t>
      </w:r>
      <w:r w:rsidR="00F16B4C">
        <w:t xml:space="preserve"> Central America and </w:t>
      </w:r>
      <w:r w:rsidR="00C61164">
        <w:t xml:space="preserve">the </w:t>
      </w:r>
      <w:r w:rsidR="00F16B4C">
        <w:t>Caribbean.</w:t>
      </w:r>
    </w:p>
    <w:p w14:paraId="7B394039" w14:textId="321E2C2E" w:rsidR="00380FDA" w:rsidRPr="0057036B" w:rsidRDefault="00380FDA" w:rsidP="00380FDA"/>
    <w:p w14:paraId="790781E0" w14:textId="77777777" w:rsidR="009B16FB" w:rsidRPr="00E811A4" w:rsidRDefault="009B16FB" w:rsidP="00E811A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9B16FB" w14:paraId="2DBAF8E5" w14:textId="77777777" w:rsidTr="00E811A4">
        <w:trPr>
          <w:jc w:val="center"/>
        </w:trPr>
        <w:tc>
          <w:tcPr>
            <w:tcW w:w="5341" w:type="dxa"/>
          </w:tcPr>
          <w:p w14:paraId="300E6EA7" w14:textId="7DD21A66" w:rsidR="009B16FB" w:rsidRPr="00E811A4" w:rsidRDefault="00A602DB" w:rsidP="00E811A4">
            <w:pPr>
              <w:jc w:val="center"/>
              <w:rPr>
                <w:b/>
                <w:bCs/>
              </w:rPr>
            </w:pPr>
            <w:r>
              <w:rPr>
                <w:b/>
                <w:bCs/>
              </w:rPr>
              <w:t xml:space="preserve">Surface Air Temperature, </w:t>
            </w:r>
            <w:r w:rsidR="0066707D">
              <w:rPr>
                <w:b/>
                <w:bCs/>
              </w:rPr>
              <w:t xml:space="preserve">MAM </w:t>
            </w:r>
            <w:r w:rsidR="004C62AD">
              <w:rPr>
                <w:b/>
                <w:bCs/>
              </w:rPr>
              <w:t>2020</w:t>
            </w:r>
          </w:p>
          <w:p w14:paraId="34B7D54F" w14:textId="79CDDD45" w:rsidR="009B16FB" w:rsidRPr="00E811A4" w:rsidRDefault="008D01C1" w:rsidP="00E811A4">
            <w:pPr>
              <w:jc w:val="center"/>
              <w:rPr>
                <w:b/>
                <w:bCs/>
              </w:rPr>
            </w:pPr>
            <w:r>
              <w:rPr>
                <w:noProof/>
                <w:lang w:val="en-US" w:eastAsia="en-US"/>
              </w:rPr>
              <w:drawing>
                <wp:inline distT="0" distB="0" distL="0" distR="0" wp14:anchorId="69AE88D0" wp14:editId="67C3915D">
                  <wp:extent cx="2857500" cy="2238375"/>
                  <wp:effectExtent l="0" t="0" r="0" b="9525"/>
                  <wp:docPr id="14" name="그림 2" descr="http://10.200.111.67/GSCU_report/DATA/PNGD/202002/MME/PMME/PMME_CB_202002_202003_202005_MAM_TMP2m_Global.png"/>
                  <wp:cNvGraphicFramePr/>
                  <a:graphic xmlns:a="http://schemas.openxmlformats.org/drawingml/2006/main">
                    <a:graphicData uri="http://schemas.openxmlformats.org/drawingml/2006/picture">
                      <pic:pic xmlns:pic="http://schemas.openxmlformats.org/drawingml/2006/picture">
                        <pic:nvPicPr>
                          <pic:cNvPr id="2" name="그림 2" descr="http://10.200.111.67/GSCU_report/DATA/PNGD/202002/MME/PMME/PMME_CB_202002_202003_202005_MAM_TMP2m_Global.pn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inline>
              </w:drawing>
            </w:r>
          </w:p>
        </w:tc>
        <w:tc>
          <w:tcPr>
            <w:tcW w:w="5342" w:type="dxa"/>
          </w:tcPr>
          <w:p w14:paraId="0B7F0CF9" w14:textId="7319B334" w:rsidR="009B16FB" w:rsidRPr="00E811A4" w:rsidRDefault="00A602DB" w:rsidP="00E811A4">
            <w:pPr>
              <w:jc w:val="center"/>
              <w:rPr>
                <w:b/>
                <w:bCs/>
              </w:rPr>
            </w:pPr>
            <w:r>
              <w:rPr>
                <w:b/>
                <w:bCs/>
              </w:rPr>
              <w:t xml:space="preserve">Precipitation, </w:t>
            </w:r>
            <w:r w:rsidR="0066707D">
              <w:rPr>
                <w:b/>
                <w:bCs/>
              </w:rPr>
              <w:t xml:space="preserve">MAM </w:t>
            </w:r>
            <w:r w:rsidR="004C62AD">
              <w:rPr>
                <w:b/>
                <w:bCs/>
              </w:rPr>
              <w:t>2020</w:t>
            </w:r>
          </w:p>
          <w:p w14:paraId="242154B2" w14:textId="105480C6" w:rsidR="009B16FB" w:rsidRPr="00E811A4" w:rsidRDefault="008D01C1" w:rsidP="00E811A4">
            <w:pPr>
              <w:jc w:val="center"/>
              <w:rPr>
                <w:b/>
                <w:bCs/>
              </w:rPr>
            </w:pPr>
            <w:r>
              <w:rPr>
                <w:noProof/>
                <w:lang w:val="en-US" w:eastAsia="en-US"/>
              </w:rPr>
              <w:drawing>
                <wp:inline distT="0" distB="0" distL="0" distR="0" wp14:anchorId="14DCD658" wp14:editId="77179A19">
                  <wp:extent cx="2857500" cy="2238375"/>
                  <wp:effectExtent l="0" t="0" r="0" b="9525"/>
                  <wp:docPr id="16" name="그림 3" descr="http://10.200.111.67/GSCU_report/DATA/PNGD/202002/MME/PMME/PMME_CB_202002_202003_202005_MAM_APCP0m_Global.png"/>
                  <wp:cNvGraphicFramePr/>
                  <a:graphic xmlns:a="http://schemas.openxmlformats.org/drawingml/2006/main">
                    <a:graphicData uri="http://schemas.openxmlformats.org/drawingml/2006/picture">
                      <pic:pic xmlns:pic="http://schemas.openxmlformats.org/drawingml/2006/picture">
                        <pic:nvPicPr>
                          <pic:cNvPr id="3" name="그림 3" descr="http://10.200.111.67/GSCU_report/DATA/PNGD/202002/MME/PMME/PMME_CB_202002_202003_202005_MAM_APCP0m_Global.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inline>
              </w:drawing>
            </w:r>
          </w:p>
        </w:tc>
      </w:tr>
    </w:tbl>
    <w:p w14:paraId="3EDF904B" w14:textId="77777777" w:rsidR="00026C26" w:rsidRDefault="00026C26" w:rsidP="00816128">
      <w:pPr>
        <w:jc w:val="center"/>
        <w:rPr>
          <w:sz w:val="16"/>
          <w:szCs w:val="16"/>
        </w:rPr>
      </w:pPr>
    </w:p>
    <w:p w14:paraId="78EB46EC" w14:textId="2ED5BBA0" w:rsidR="009B16FB" w:rsidRPr="00E811A4" w:rsidRDefault="009B16FB" w:rsidP="00816128">
      <w:pPr>
        <w:jc w:val="center"/>
        <w:rPr>
          <w:sz w:val="16"/>
          <w:szCs w:val="16"/>
        </w:rPr>
      </w:pPr>
      <w:r w:rsidRPr="00E811A4">
        <w:rPr>
          <w:sz w:val="16"/>
          <w:szCs w:val="16"/>
        </w:rPr>
        <w:t>Figure 1</w:t>
      </w:r>
      <w:r w:rsidR="00B0618B">
        <w:rPr>
          <w:sz w:val="16"/>
          <w:szCs w:val="16"/>
        </w:rPr>
        <w:t>.</w:t>
      </w:r>
      <w:r w:rsidRPr="00E811A4">
        <w:rPr>
          <w:sz w:val="16"/>
          <w:szCs w:val="16"/>
        </w:rPr>
        <w:t xml:space="preserve"> Probabilistic forecasts of surface air temperature and precipitation for the season </w:t>
      </w:r>
      <w:r w:rsidR="00AD66EC">
        <w:rPr>
          <w:sz w:val="16"/>
          <w:szCs w:val="16"/>
        </w:rPr>
        <w:t xml:space="preserve">March-April-May  </w:t>
      </w:r>
      <w:r w:rsidR="004C62AD">
        <w:rPr>
          <w:sz w:val="16"/>
          <w:szCs w:val="16"/>
        </w:rPr>
        <w:t>2020</w:t>
      </w:r>
      <w:r w:rsidRPr="00E811A4">
        <w:rPr>
          <w:sz w:val="16"/>
          <w:szCs w:val="16"/>
        </w:rPr>
        <w:t>.  The tercile category with the highest forecast probability is indicated by shaded areas. The most likely category for below-normal, above-normal and near-normal is depicted in blue, red and grey shadings respectively for temperature, and orange, green and grey shadings respectively for precipitation. White areas indicate equal chances for all categories in both cases.  The baseline period is 1993</w:t>
      </w:r>
      <w:r w:rsidR="00816128">
        <w:rPr>
          <w:sz w:val="16"/>
          <w:szCs w:val="16"/>
        </w:rPr>
        <w:t>–</w:t>
      </w:r>
      <w:r w:rsidRPr="00E811A4">
        <w:rPr>
          <w:sz w:val="16"/>
          <w:szCs w:val="16"/>
        </w:rPr>
        <w:t>2009.</w:t>
      </w:r>
    </w:p>
    <w:p w14:paraId="750CD4DA" w14:textId="77777777" w:rsidR="009B16FB" w:rsidRDefault="009B16FB" w:rsidP="00E811A4"/>
    <w:p w14:paraId="084E98A0" w14:textId="77777777" w:rsidR="00E537B8" w:rsidRDefault="00E537B8" w:rsidP="00816128">
      <w:pPr>
        <w:pStyle w:val="Heading2"/>
      </w:pPr>
    </w:p>
    <w:p w14:paraId="4A41D51E" w14:textId="77777777" w:rsidR="00E537B8" w:rsidRDefault="00E537B8" w:rsidP="00816128">
      <w:pPr>
        <w:pStyle w:val="Heading2"/>
      </w:pPr>
    </w:p>
    <w:p w14:paraId="5A99B311" w14:textId="05364A3C" w:rsidR="009B16FB" w:rsidRPr="00F94C2C" w:rsidRDefault="00483AFB" w:rsidP="00816128">
      <w:pPr>
        <w:pStyle w:val="Heading2"/>
      </w:pPr>
      <w:r w:rsidRPr="00F94C2C">
        <w:t>1.</w:t>
      </w:r>
      <w:r w:rsidRPr="00F94C2C">
        <w:tab/>
        <w:t xml:space="preserve">Observations: </w:t>
      </w:r>
      <w:r w:rsidR="00EC6319">
        <w:t xml:space="preserve"> </w:t>
      </w:r>
      <w:r w:rsidR="00EE3723">
        <w:t xml:space="preserve">November 2019 – January 2020 </w:t>
      </w:r>
    </w:p>
    <w:p w14:paraId="557784D7" w14:textId="0ABA8A8A" w:rsidR="009B16FB" w:rsidRPr="00F94C2C" w:rsidRDefault="009B16FB" w:rsidP="008566CA">
      <w:pPr>
        <w:rPr>
          <w:b/>
        </w:rPr>
      </w:pPr>
      <w:r w:rsidRPr="00F94C2C">
        <w:lastRenderedPageBreak/>
        <w:t xml:space="preserve">In the following sections, observed temperature and precipitation patterns for the period </w:t>
      </w:r>
      <w:r w:rsidR="00EE3723">
        <w:t>November 2019 – January 2020</w:t>
      </w:r>
      <w:r w:rsidRPr="00F94C2C">
        <w:t xml:space="preserve"> are briefly described. For more detailed information about regional and local climate anomalies, the reader is referred to the concerned WMO Regional Climate Centres (RCCs)</w:t>
      </w:r>
      <w:r w:rsidR="008566CA" w:rsidRPr="00F94C2C">
        <w:t xml:space="preserve"> or </w:t>
      </w:r>
      <w:r w:rsidRPr="00F94C2C">
        <w:t>RCC</w:t>
      </w:r>
      <w:r w:rsidR="008566CA" w:rsidRPr="00F94C2C">
        <w:t xml:space="preserve"> N</w:t>
      </w:r>
      <w:r w:rsidRPr="00F94C2C">
        <w:t>etworks, listed in Section</w:t>
      </w:r>
      <w:r w:rsidR="00D1241F" w:rsidRPr="00F94C2C">
        <w:t> </w:t>
      </w:r>
      <w:r w:rsidRPr="00F94C2C">
        <w:t>5.</w:t>
      </w:r>
    </w:p>
    <w:p w14:paraId="65301AFF" w14:textId="77777777" w:rsidR="009B16FB" w:rsidRPr="00F94C2C" w:rsidRDefault="009B16FB" w:rsidP="00D1241F">
      <w:pPr>
        <w:pStyle w:val="Heading3"/>
      </w:pPr>
      <w:r w:rsidRPr="00F94C2C">
        <w:t>1.1</w:t>
      </w:r>
      <w:r w:rsidRPr="00F94C2C">
        <w:tab/>
        <w:t>Large-scale sea surface temperature (SST) indices</w:t>
      </w:r>
    </w:p>
    <w:p w14:paraId="772A8EB0" w14:textId="1BA86960" w:rsidR="004C62AD" w:rsidRDefault="004C62AD" w:rsidP="004C62AD">
      <w:r>
        <w:t>Except for the far eastern Pacific region of Niño 1+2, where s</w:t>
      </w:r>
      <w:r w:rsidRPr="00F94C2C">
        <w:t xml:space="preserve">ea surface temperatures (SST) were </w:t>
      </w:r>
      <w:r w:rsidR="00AD66EC">
        <w:t xml:space="preserve">near </w:t>
      </w:r>
      <w:r>
        <w:t xml:space="preserve">normal, SSTs were either </w:t>
      </w:r>
      <w:r w:rsidR="00786FC3">
        <w:t>just slightly above-</w:t>
      </w:r>
      <w:r>
        <w:t xml:space="preserve">normal (Niño 3) or were </w:t>
      </w:r>
      <w:r w:rsidR="00DF1BE6">
        <w:t xml:space="preserve">more clearly </w:t>
      </w:r>
      <w:r w:rsidRPr="00F94C2C">
        <w:t>above</w:t>
      </w:r>
      <w:r>
        <w:t>-</w:t>
      </w:r>
      <w:r w:rsidRPr="00F94C2C">
        <w:t xml:space="preserve">normal across </w:t>
      </w:r>
      <w:r>
        <w:t xml:space="preserve">other </w:t>
      </w:r>
      <w:r w:rsidRPr="00F94C2C">
        <w:t>ENSO regions of the Pacific</w:t>
      </w:r>
      <w:r>
        <w:t xml:space="preserve"> during </w:t>
      </w:r>
      <w:r w:rsidR="00AD66EC">
        <w:t>November 2019-January 2020</w:t>
      </w:r>
      <w:r>
        <w:t>,</w:t>
      </w:r>
      <w:r w:rsidRPr="00F94C2C">
        <w:t xml:space="preserve"> more so in the central Pacific </w:t>
      </w:r>
      <w:r>
        <w:t xml:space="preserve">(Niño 4) </w:t>
      </w:r>
      <w:r w:rsidRPr="00F94C2C">
        <w:t xml:space="preserve">than in the </w:t>
      </w:r>
      <w:r>
        <w:t>east-central</w:t>
      </w:r>
      <w:r w:rsidRPr="00F94C2C">
        <w:t xml:space="preserve"> Pacific</w:t>
      </w:r>
      <w:r>
        <w:t xml:space="preserve"> (Niño 3.4). The SST conditions</w:t>
      </w:r>
      <w:r w:rsidRPr="00F94C2C">
        <w:t xml:space="preserve"> </w:t>
      </w:r>
      <w:r w:rsidR="00AD66EC">
        <w:t xml:space="preserve">generally </w:t>
      </w:r>
      <w:r w:rsidR="00430C54">
        <w:t>characterized</w:t>
      </w:r>
      <w:r w:rsidRPr="00F94C2C">
        <w:t xml:space="preserve"> a </w:t>
      </w:r>
      <w:r w:rsidR="002F2FAC">
        <w:t>neutral</w:t>
      </w:r>
      <w:r w:rsidR="0063690A">
        <w:t xml:space="preserve"> </w:t>
      </w:r>
      <w:r w:rsidR="008C5C37">
        <w:t>ENSO</w:t>
      </w:r>
      <w:r>
        <w:t xml:space="preserve"> system</w:t>
      </w:r>
      <w:r w:rsidRPr="00F94C2C">
        <w:t xml:space="preserve">. </w:t>
      </w:r>
      <w:r>
        <w:t xml:space="preserve">SST anomalies in </w:t>
      </w:r>
      <w:r w:rsidR="0063690A">
        <w:t xml:space="preserve">Niño 4 and Niño 3.4 regions increased </w:t>
      </w:r>
      <w:r>
        <w:t xml:space="preserve">from their somewhat above-normal values in </w:t>
      </w:r>
      <w:r w:rsidR="0063690A">
        <w:t>August-</w:t>
      </w:r>
      <w:r w:rsidR="002F2FAC">
        <w:t>October</w:t>
      </w:r>
      <w:r w:rsidR="0063690A">
        <w:t xml:space="preserve"> 2019</w:t>
      </w:r>
      <w:r>
        <w:t>, indicating a</w:t>
      </w:r>
      <w:r w:rsidR="004E636D">
        <w:t>n increasing tilt towards</w:t>
      </w:r>
      <w:r>
        <w:t xml:space="preserve"> El Niño conditions.</w:t>
      </w:r>
      <w:r w:rsidRPr="00F94C2C">
        <w:t xml:space="preserve"> The Indian Ocean Dipole (IOD) over the period </w:t>
      </w:r>
      <w:r>
        <w:t xml:space="preserve">had a strong </w:t>
      </w:r>
      <w:r w:rsidR="0063690A">
        <w:t xml:space="preserve">decline </w:t>
      </w:r>
      <w:r w:rsidR="004E636D">
        <w:t xml:space="preserve">from strongly positive </w:t>
      </w:r>
      <w:r w:rsidR="0078112E">
        <w:t>towards neutral conditions</w:t>
      </w:r>
      <w:r w:rsidRPr="00F94C2C">
        <w:t xml:space="preserve">. The North Tropical Atlantic (NTA) </w:t>
      </w:r>
      <w:r w:rsidR="0078112E">
        <w:t xml:space="preserve">SST index was near neutral </w:t>
      </w:r>
      <w:r>
        <w:t xml:space="preserve">and the </w:t>
      </w:r>
      <w:r w:rsidRPr="00F94C2C">
        <w:t>South Tropical Atlantic (STA) index</w:t>
      </w:r>
      <w:r>
        <w:t xml:space="preserve"> showed </w:t>
      </w:r>
      <w:r w:rsidR="0078112E">
        <w:t>above normal</w:t>
      </w:r>
      <w:r>
        <w:t xml:space="preserve"> conditions</w:t>
      </w:r>
      <w:r w:rsidRPr="00F94C2C">
        <w:t>.</w:t>
      </w:r>
    </w:p>
    <w:p w14:paraId="71C51D28" w14:textId="77777777" w:rsidR="009B16FB" w:rsidRPr="009B16FB" w:rsidRDefault="009B16FB" w:rsidP="00E811A4"/>
    <w:tbl>
      <w:tblPr>
        <w:tblStyle w:val="LightShading"/>
        <w:tblW w:w="10598" w:type="dxa"/>
        <w:tblLayout w:type="fixed"/>
        <w:tblLook w:val="0400" w:firstRow="0" w:lastRow="0" w:firstColumn="0" w:lastColumn="0" w:noHBand="0" w:noVBand="1"/>
      </w:tblPr>
      <w:tblGrid>
        <w:gridCol w:w="2373"/>
        <w:gridCol w:w="1175"/>
        <w:gridCol w:w="1175"/>
        <w:gridCol w:w="1175"/>
        <w:gridCol w:w="1175"/>
        <w:gridCol w:w="1175"/>
        <w:gridCol w:w="1175"/>
        <w:gridCol w:w="1175"/>
      </w:tblGrid>
      <w:tr w:rsidR="009B16FB" w:rsidRPr="00EC1BD9" w14:paraId="1F73BA90" w14:textId="77777777" w:rsidTr="00E71BF1">
        <w:trPr>
          <w:cnfStyle w:val="000000100000" w:firstRow="0" w:lastRow="0" w:firstColumn="0" w:lastColumn="0" w:oddVBand="0" w:evenVBand="0" w:oddHBand="1" w:evenHBand="0" w:firstRowFirstColumn="0" w:firstRowLastColumn="0" w:lastRowFirstColumn="0" w:lastRowLastColumn="0"/>
          <w:trHeight w:val="300"/>
        </w:trPr>
        <w:tc>
          <w:tcPr>
            <w:tcW w:w="2373" w:type="dxa"/>
          </w:tcPr>
          <w:p w14:paraId="31FC724E" w14:textId="77777777" w:rsidR="009B16FB" w:rsidRPr="00EC1BD9" w:rsidRDefault="009B16FB" w:rsidP="00E811A4">
            <w:r w:rsidRPr="00EC1BD9">
              <w:t>Month</w:t>
            </w:r>
          </w:p>
        </w:tc>
        <w:tc>
          <w:tcPr>
            <w:tcW w:w="1175" w:type="dxa"/>
          </w:tcPr>
          <w:p w14:paraId="3CB9F992" w14:textId="77777777" w:rsidR="009B16FB" w:rsidRPr="00EC1BD9" w:rsidRDefault="009B16FB" w:rsidP="008670EE">
            <w:r w:rsidRPr="00EC1BD9">
              <w:t>Niño</w:t>
            </w:r>
            <w:r w:rsidR="008670EE">
              <w:t xml:space="preserve"> </w:t>
            </w:r>
            <w:r w:rsidRPr="00EC1BD9">
              <w:t>1+2</w:t>
            </w:r>
          </w:p>
        </w:tc>
        <w:tc>
          <w:tcPr>
            <w:tcW w:w="1175" w:type="dxa"/>
          </w:tcPr>
          <w:p w14:paraId="45A82AB5" w14:textId="77777777" w:rsidR="009B16FB" w:rsidRPr="00EC1BD9" w:rsidRDefault="009B16FB" w:rsidP="00E811A4">
            <w:r w:rsidRPr="00EC1BD9">
              <w:t xml:space="preserve">Niño 3 </w:t>
            </w:r>
          </w:p>
        </w:tc>
        <w:tc>
          <w:tcPr>
            <w:tcW w:w="1175" w:type="dxa"/>
          </w:tcPr>
          <w:p w14:paraId="5F7B4555" w14:textId="77777777" w:rsidR="009B16FB" w:rsidRPr="00EC1BD9" w:rsidRDefault="009B16FB" w:rsidP="008670EE">
            <w:r w:rsidRPr="00EC1BD9">
              <w:t>Niño</w:t>
            </w:r>
            <w:r w:rsidR="008670EE">
              <w:t xml:space="preserve"> </w:t>
            </w:r>
            <w:r w:rsidRPr="00EC1BD9">
              <w:t>4</w:t>
            </w:r>
          </w:p>
        </w:tc>
        <w:tc>
          <w:tcPr>
            <w:tcW w:w="1175" w:type="dxa"/>
          </w:tcPr>
          <w:p w14:paraId="171FB715" w14:textId="77777777" w:rsidR="009B16FB" w:rsidRPr="00EC1BD9" w:rsidRDefault="009B16FB" w:rsidP="008670EE">
            <w:r w:rsidRPr="00EC1BD9">
              <w:t>Niño</w:t>
            </w:r>
            <w:r w:rsidR="008670EE">
              <w:t xml:space="preserve"> </w:t>
            </w:r>
            <w:r w:rsidRPr="00EC1BD9">
              <w:t>3.4</w:t>
            </w:r>
          </w:p>
        </w:tc>
        <w:tc>
          <w:tcPr>
            <w:tcW w:w="1175" w:type="dxa"/>
          </w:tcPr>
          <w:p w14:paraId="36BF5501" w14:textId="77777777" w:rsidR="009B16FB" w:rsidRPr="00EC1BD9" w:rsidRDefault="009B16FB" w:rsidP="008670EE">
            <w:r w:rsidRPr="00EC1BD9">
              <w:t>IOD</w:t>
            </w:r>
          </w:p>
        </w:tc>
        <w:tc>
          <w:tcPr>
            <w:tcW w:w="1175" w:type="dxa"/>
          </w:tcPr>
          <w:p w14:paraId="652CDFED" w14:textId="77777777" w:rsidR="009B16FB" w:rsidRPr="00EC1BD9" w:rsidRDefault="009B16FB" w:rsidP="008670EE">
            <w:r w:rsidRPr="00EC1BD9">
              <w:t>NTA</w:t>
            </w:r>
          </w:p>
        </w:tc>
        <w:tc>
          <w:tcPr>
            <w:tcW w:w="1175" w:type="dxa"/>
          </w:tcPr>
          <w:p w14:paraId="05977BC4" w14:textId="77777777" w:rsidR="009B16FB" w:rsidRPr="00EC1BD9" w:rsidRDefault="009B16FB" w:rsidP="008670EE">
            <w:r w:rsidRPr="00EC1BD9">
              <w:t>STA</w:t>
            </w:r>
          </w:p>
        </w:tc>
      </w:tr>
      <w:tr w:rsidR="00AD66EC" w:rsidRPr="00EC1BD9" w14:paraId="18136FE7" w14:textId="77777777" w:rsidTr="00FA5A51">
        <w:trPr>
          <w:trHeight w:val="300"/>
        </w:trPr>
        <w:tc>
          <w:tcPr>
            <w:tcW w:w="2373" w:type="dxa"/>
          </w:tcPr>
          <w:p w14:paraId="35C8EE2B" w14:textId="26DF46BE" w:rsidR="00AD66EC" w:rsidRPr="00EC1BD9" w:rsidRDefault="00AD66EC" w:rsidP="00AD66EC">
            <w:r>
              <w:t>Nov 2019</w:t>
            </w:r>
            <w:r w:rsidRPr="00EC1BD9">
              <w:t xml:space="preserve"> </w:t>
            </w:r>
          </w:p>
        </w:tc>
        <w:tc>
          <w:tcPr>
            <w:tcW w:w="1175" w:type="dxa"/>
            <w:vAlign w:val="bottom"/>
          </w:tcPr>
          <w:p w14:paraId="7865C8E0" w14:textId="6E0D0F1F" w:rsidR="00AD66EC" w:rsidRPr="00EC1BD9" w:rsidRDefault="00AD66EC" w:rsidP="00AD66EC">
            <w:pPr>
              <w:jc w:val="left"/>
            </w:pPr>
            <w:r>
              <w:rPr>
                <w:rFonts w:ascii="Calibri" w:hAnsi="Calibri" w:cs="Calibri"/>
                <w:color w:val="000000"/>
                <w:sz w:val="22"/>
                <w:szCs w:val="22"/>
              </w:rPr>
              <w:t>-0.27</w:t>
            </w:r>
          </w:p>
        </w:tc>
        <w:tc>
          <w:tcPr>
            <w:tcW w:w="1175" w:type="dxa"/>
            <w:vAlign w:val="bottom"/>
          </w:tcPr>
          <w:p w14:paraId="73D830BC" w14:textId="4BEF0F3A" w:rsidR="00AD66EC" w:rsidRPr="00EC1BD9" w:rsidRDefault="00AD66EC" w:rsidP="00AD66EC">
            <w:r>
              <w:rPr>
                <w:rFonts w:ascii="Calibri" w:hAnsi="Calibri" w:cs="Calibri"/>
                <w:color w:val="000000"/>
                <w:sz w:val="22"/>
                <w:szCs w:val="22"/>
              </w:rPr>
              <w:t>0.48</w:t>
            </w:r>
          </w:p>
        </w:tc>
        <w:tc>
          <w:tcPr>
            <w:tcW w:w="1175" w:type="dxa"/>
            <w:vAlign w:val="bottom"/>
          </w:tcPr>
          <w:p w14:paraId="47D283C6" w14:textId="71E5C995" w:rsidR="00AD66EC" w:rsidRPr="00EC1BD9" w:rsidRDefault="00AD66EC" w:rsidP="00AD66EC">
            <w:r>
              <w:rPr>
                <w:rFonts w:ascii="Calibri" w:hAnsi="Calibri" w:cs="Calibri"/>
                <w:color w:val="000000"/>
                <w:sz w:val="22"/>
                <w:szCs w:val="22"/>
              </w:rPr>
              <w:t>0.84</w:t>
            </w:r>
          </w:p>
        </w:tc>
        <w:tc>
          <w:tcPr>
            <w:tcW w:w="1175" w:type="dxa"/>
            <w:vAlign w:val="bottom"/>
          </w:tcPr>
          <w:p w14:paraId="721616EC" w14:textId="3C87E276" w:rsidR="00AD66EC" w:rsidRPr="00EC1BD9" w:rsidRDefault="00AD66EC" w:rsidP="00AD66EC">
            <w:r>
              <w:rPr>
                <w:rFonts w:ascii="Calibri" w:hAnsi="Calibri" w:cs="Calibri"/>
                <w:color w:val="000000"/>
                <w:sz w:val="22"/>
                <w:szCs w:val="22"/>
              </w:rPr>
              <w:t>0.61</w:t>
            </w:r>
          </w:p>
        </w:tc>
        <w:tc>
          <w:tcPr>
            <w:tcW w:w="1175" w:type="dxa"/>
            <w:vAlign w:val="bottom"/>
          </w:tcPr>
          <w:p w14:paraId="547A4D53" w14:textId="720881CC" w:rsidR="00AD66EC" w:rsidRPr="00EC1BD9" w:rsidRDefault="00AD66EC" w:rsidP="00AD66EC">
            <w:r>
              <w:rPr>
                <w:rFonts w:ascii="Calibri" w:hAnsi="Calibri" w:cs="Calibri"/>
                <w:color w:val="000000"/>
                <w:sz w:val="22"/>
                <w:szCs w:val="22"/>
              </w:rPr>
              <w:t>1.89</w:t>
            </w:r>
          </w:p>
        </w:tc>
        <w:tc>
          <w:tcPr>
            <w:tcW w:w="1175" w:type="dxa"/>
            <w:vAlign w:val="bottom"/>
          </w:tcPr>
          <w:p w14:paraId="72F55113" w14:textId="7E0D9E0E" w:rsidR="00AD66EC" w:rsidRPr="00EC1BD9" w:rsidRDefault="00AD66EC" w:rsidP="00AD66EC">
            <w:r>
              <w:rPr>
                <w:rFonts w:ascii="Calibri" w:hAnsi="Calibri" w:cs="Calibri"/>
                <w:color w:val="000000"/>
                <w:sz w:val="22"/>
                <w:szCs w:val="22"/>
              </w:rPr>
              <w:t>0.11</w:t>
            </w:r>
          </w:p>
        </w:tc>
        <w:tc>
          <w:tcPr>
            <w:tcW w:w="1175" w:type="dxa"/>
            <w:vAlign w:val="bottom"/>
          </w:tcPr>
          <w:p w14:paraId="483443A2" w14:textId="12D54BE9" w:rsidR="00AD66EC" w:rsidRPr="00EC1BD9" w:rsidRDefault="00AD66EC" w:rsidP="00AD66EC">
            <w:r>
              <w:rPr>
                <w:rFonts w:ascii="Calibri" w:hAnsi="Calibri" w:cs="Calibri"/>
                <w:color w:val="000000"/>
                <w:sz w:val="22"/>
                <w:szCs w:val="22"/>
              </w:rPr>
              <w:t>0.65</w:t>
            </w:r>
          </w:p>
        </w:tc>
      </w:tr>
      <w:tr w:rsidR="00AD66EC" w:rsidRPr="00EC1BD9" w14:paraId="3FC0CCA9" w14:textId="77777777" w:rsidTr="00FA5A51">
        <w:trPr>
          <w:cnfStyle w:val="000000100000" w:firstRow="0" w:lastRow="0" w:firstColumn="0" w:lastColumn="0" w:oddVBand="0" w:evenVBand="0" w:oddHBand="1" w:evenHBand="0" w:firstRowFirstColumn="0" w:firstRowLastColumn="0" w:lastRowFirstColumn="0" w:lastRowLastColumn="0"/>
          <w:trHeight w:val="300"/>
        </w:trPr>
        <w:tc>
          <w:tcPr>
            <w:tcW w:w="2373" w:type="dxa"/>
          </w:tcPr>
          <w:p w14:paraId="3CB8A06C" w14:textId="5EA9A9B5" w:rsidR="00AD66EC" w:rsidRPr="00EC1BD9" w:rsidRDefault="00AD66EC" w:rsidP="00AD66EC">
            <w:r>
              <w:t>Dec 2019</w:t>
            </w:r>
          </w:p>
        </w:tc>
        <w:tc>
          <w:tcPr>
            <w:tcW w:w="1175" w:type="dxa"/>
            <w:vAlign w:val="bottom"/>
          </w:tcPr>
          <w:p w14:paraId="11EF2F38" w14:textId="6208E982" w:rsidR="00AD66EC" w:rsidRPr="00EC1BD9" w:rsidRDefault="00AD66EC" w:rsidP="00AD66EC">
            <w:pPr>
              <w:jc w:val="left"/>
            </w:pPr>
            <w:r>
              <w:rPr>
                <w:rFonts w:ascii="Calibri" w:hAnsi="Calibri" w:cs="Calibri"/>
                <w:color w:val="000000"/>
                <w:sz w:val="22"/>
                <w:szCs w:val="22"/>
              </w:rPr>
              <w:t xml:space="preserve"> 0.34</w:t>
            </w:r>
          </w:p>
        </w:tc>
        <w:tc>
          <w:tcPr>
            <w:tcW w:w="1175" w:type="dxa"/>
            <w:vAlign w:val="bottom"/>
          </w:tcPr>
          <w:p w14:paraId="1FF344F9" w14:textId="16000FC1" w:rsidR="00AD66EC" w:rsidRPr="00EC1BD9" w:rsidRDefault="00AD66EC" w:rsidP="00AD66EC">
            <w:r>
              <w:rPr>
                <w:rFonts w:ascii="Calibri" w:hAnsi="Calibri" w:cs="Calibri"/>
                <w:color w:val="000000"/>
                <w:sz w:val="22"/>
                <w:szCs w:val="22"/>
              </w:rPr>
              <w:t>0.33</w:t>
            </w:r>
          </w:p>
        </w:tc>
        <w:tc>
          <w:tcPr>
            <w:tcW w:w="1175" w:type="dxa"/>
            <w:vAlign w:val="bottom"/>
          </w:tcPr>
          <w:p w14:paraId="52A9BED3" w14:textId="282C05D7" w:rsidR="00AD66EC" w:rsidRPr="00EC1BD9" w:rsidRDefault="00AD66EC" w:rsidP="00AD66EC">
            <w:r>
              <w:rPr>
                <w:rFonts w:ascii="Calibri" w:hAnsi="Calibri" w:cs="Calibri"/>
                <w:color w:val="000000"/>
                <w:sz w:val="22"/>
                <w:szCs w:val="22"/>
              </w:rPr>
              <w:t>1.01</w:t>
            </w:r>
          </w:p>
        </w:tc>
        <w:tc>
          <w:tcPr>
            <w:tcW w:w="1175" w:type="dxa"/>
            <w:vAlign w:val="bottom"/>
          </w:tcPr>
          <w:p w14:paraId="550A9199" w14:textId="0AF3174B" w:rsidR="00AD66EC" w:rsidRPr="00EC1BD9" w:rsidRDefault="00AD66EC" w:rsidP="00AD66EC">
            <w:r>
              <w:rPr>
                <w:rFonts w:ascii="Calibri" w:hAnsi="Calibri" w:cs="Calibri"/>
                <w:color w:val="000000"/>
                <w:sz w:val="22"/>
                <w:szCs w:val="22"/>
              </w:rPr>
              <w:t>0.50</w:t>
            </w:r>
          </w:p>
        </w:tc>
        <w:tc>
          <w:tcPr>
            <w:tcW w:w="1175" w:type="dxa"/>
            <w:vAlign w:val="bottom"/>
          </w:tcPr>
          <w:p w14:paraId="11807878" w14:textId="04283D9D" w:rsidR="00AD66EC" w:rsidRPr="00EC1BD9" w:rsidRDefault="00AD66EC" w:rsidP="00AD66EC">
            <w:r>
              <w:rPr>
                <w:rFonts w:ascii="Calibri" w:hAnsi="Calibri" w:cs="Calibri"/>
                <w:color w:val="000000"/>
                <w:sz w:val="22"/>
                <w:szCs w:val="22"/>
              </w:rPr>
              <w:t>0.89</w:t>
            </w:r>
          </w:p>
        </w:tc>
        <w:tc>
          <w:tcPr>
            <w:tcW w:w="1175" w:type="dxa"/>
            <w:vAlign w:val="bottom"/>
          </w:tcPr>
          <w:p w14:paraId="089A5DED" w14:textId="52A91438" w:rsidR="00AD66EC" w:rsidRPr="00EC1BD9" w:rsidRDefault="00AD66EC" w:rsidP="00AD66EC">
            <w:r>
              <w:rPr>
                <w:rFonts w:ascii="Calibri" w:hAnsi="Calibri" w:cs="Calibri"/>
                <w:color w:val="000000"/>
                <w:sz w:val="22"/>
                <w:szCs w:val="22"/>
              </w:rPr>
              <w:t>0.09</w:t>
            </w:r>
          </w:p>
        </w:tc>
        <w:tc>
          <w:tcPr>
            <w:tcW w:w="1175" w:type="dxa"/>
            <w:vAlign w:val="bottom"/>
          </w:tcPr>
          <w:p w14:paraId="251207C5" w14:textId="4102658C" w:rsidR="00AD66EC" w:rsidRPr="00EC1BD9" w:rsidRDefault="00AD66EC" w:rsidP="00AD66EC">
            <w:r>
              <w:rPr>
                <w:rFonts w:ascii="Calibri" w:hAnsi="Calibri" w:cs="Calibri"/>
                <w:color w:val="000000"/>
                <w:sz w:val="22"/>
                <w:szCs w:val="22"/>
              </w:rPr>
              <w:t>0.8</w:t>
            </w:r>
          </w:p>
        </w:tc>
      </w:tr>
      <w:tr w:rsidR="00AD66EC" w:rsidRPr="00EC1BD9" w14:paraId="4A8CE904" w14:textId="77777777" w:rsidTr="00FA5A51">
        <w:trPr>
          <w:trHeight w:val="60"/>
        </w:trPr>
        <w:tc>
          <w:tcPr>
            <w:tcW w:w="2373" w:type="dxa"/>
          </w:tcPr>
          <w:p w14:paraId="62783CCB" w14:textId="1765532E" w:rsidR="00AD66EC" w:rsidRPr="00EC1BD9" w:rsidRDefault="00AD66EC" w:rsidP="00AD66EC">
            <w:r>
              <w:t>Jan 2020</w:t>
            </w:r>
          </w:p>
        </w:tc>
        <w:tc>
          <w:tcPr>
            <w:tcW w:w="1175" w:type="dxa"/>
            <w:vAlign w:val="bottom"/>
          </w:tcPr>
          <w:p w14:paraId="39C129F0" w14:textId="24A4297D" w:rsidR="00AD66EC" w:rsidRPr="00EC1BD9" w:rsidRDefault="00AD66EC" w:rsidP="00AD66EC">
            <w:pPr>
              <w:jc w:val="left"/>
            </w:pPr>
            <w:r>
              <w:rPr>
                <w:rFonts w:ascii="Calibri" w:hAnsi="Calibri" w:cs="Calibri"/>
                <w:color w:val="000000"/>
                <w:sz w:val="22"/>
                <w:szCs w:val="22"/>
              </w:rPr>
              <w:t>-0.04</w:t>
            </w:r>
          </w:p>
        </w:tc>
        <w:tc>
          <w:tcPr>
            <w:tcW w:w="1175" w:type="dxa"/>
            <w:vAlign w:val="bottom"/>
          </w:tcPr>
          <w:p w14:paraId="4272AF22" w14:textId="3086C113" w:rsidR="00AD66EC" w:rsidRPr="00EC1BD9" w:rsidRDefault="00AD66EC" w:rsidP="00AD66EC">
            <w:r>
              <w:rPr>
                <w:rFonts w:ascii="Calibri" w:hAnsi="Calibri" w:cs="Calibri"/>
                <w:color w:val="000000"/>
                <w:sz w:val="22"/>
                <w:szCs w:val="22"/>
              </w:rPr>
              <w:t>0.16</w:t>
            </w:r>
          </w:p>
        </w:tc>
        <w:tc>
          <w:tcPr>
            <w:tcW w:w="1175" w:type="dxa"/>
            <w:vAlign w:val="bottom"/>
          </w:tcPr>
          <w:p w14:paraId="44B5881D" w14:textId="57B93308" w:rsidR="00AD66EC" w:rsidRPr="00EC1BD9" w:rsidRDefault="00AD66EC" w:rsidP="00AD66EC">
            <w:r>
              <w:rPr>
                <w:rFonts w:ascii="Calibri" w:hAnsi="Calibri" w:cs="Calibri"/>
                <w:color w:val="000000"/>
                <w:sz w:val="22"/>
                <w:szCs w:val="22"/>
              </w:rPr>
              <w:t>0.97</w:t>
            </w:r>
          </w:p>
        </w:tc>
        <w:tc>
          <w:tcPr>
            <w:tcW w:w="1175" w:type="dxa"/>
            <w:vAlign w:val="bottom"/>
          </w:tcPr>
          <w:p w14:paraId="0333956F" w14:textId="313508DB" w:rsidR="00AD66EC" w:rsidRPr="00EC1BD9" w:rsidRDefault="00AD66EC" w:rsidP="00AD66EC">
            <w:r>
              <w:rPr>
                <w:rFonts w:ascii="Calibri" w:hAnsi="Calibri" w:cs="Calibri"/>
                <w:color w:val="000000"/>
                <w:sz w:val="22"/>
                <w:szCs w:val="22"/>
              </w:rPr>
              <w:t>0.51</w:t>
            </w:r>
          </w:p>
        </w:tc>
        <w:tc>
          <w:tcPr>
            <w:tcW w:w="1175" w:type="dxa"/>
            <w:vAlign w:val="bottom"/>
          </w:tcPr>
          <w:p w14:paraId="6CF86F14" w14:textId="025E9037" w:rsidR="00AD66EC" w:rsidRPr="00EC1BD9" w:rsidRDefault="00AD66EC" w:rsidP="00AD66EC">
            <w:r>
              <w:rPr>
                <w:rFonts w:ascii="Calibri" w:hAnsi="Calibri" w:cs="Calibri"/>
                <w:color w:val="000000"/>
                <w:sz w:val="22"/>
                <w:szCs w:val="22"/>
              </w:rPr>
              <w:t>0.16</w:t>
            </w:r>
          </w:p>
        </w:tc>
        <w:tc>
          <w:tcPr>
            <w:tcW w:w="1175" w:type="dxa"/>
            <w:vAlign w:val="bottom"/>
          </w:tcPr>
          <w:p w14:paraId="11CA5578" w14:textId="2A2BB5E3" w:rsidR="00AD66EC" w:rsidRPr="00EC1BD9" w:rsidRDefault="00AD66EC" w:rsidP="00AD66EC">
            <w:r>
              <w:rPr>
                <w:rFonts w:ascii="Calibri" w:hAnsi="Calibri" w:cs="Calibri"/>
                <w:color w:val="000000"/>
                <w:sz w:val="22"/>
                <w:szCs w:val="22"/>
              </w:rPr>
              <w:t>0.17</w:t>
            </w:r>
          </w:p>
        </w:tc>
        <w:tc>
          <w:tcPr>
            <w:tcW w:w="1175" w:type="dxa"/>
            <w:vAlign w:val="bottom"/>
          </w:tcPr>
          <w:p w14:paraId="1A3DA919" w14:textId="59394BB4" w:rsidR="00AD66EC" w:rsidRPr="00EC1BD9" w:rsidRDefault="00AD66EC" w:rsidP="00AD66EC">
            <w:r>
              <w:rPr>
                <w:rFonts w:ascii="Calibri" w:hAnsi="Calibri" w:cs="Calibri"/>
                <w:color w:val="000000"/>
                <w:sz w:val="22"/>
                <w:szCs w:val="22"/>
              </w:rPr>
              <w:t>1.15</w:t>
            </w:r>
          </w:p>
        </w:tc>
      </w:tr>
      <w:tr w:rsidR="00AD66EC" w:rsidRPr="00EC1BD9" w14:paraId="1D529846" w14:textId="77777777" w:rsidTr="00FA5A51">
        <w:trPr>
          <w:cnfStyle w:val="000000100000" w:firstRow="0" w:lastRow="0" w:firstColumn="0" w:lastColumn="0" w:oddVBand="0" w:evenVBand="0" w:oddHBand="1" w:evenHBand="0" w:firstRowFirstColumn="0" w:firstRowLastColumn="0" w:lastRowFirstColumn="0" w:lastRowLastColumn="0"/>
          <w:trHeight w:val="60"/>
        </w:trPr>
        <w:tc>
          <w:tcPr>
            <w:tcW w:w="2373" w:type="dxa"/>
          </w:tcPr>
          <w:p w14:paraId="1AD41C7E" w14:textId="79ED0B82" w:rsidR="00AD66EC" w:rsidRPr="00EC1BD9" w:rsidRDefault="00AD66EC" w:rsidP="00AD66EC">
            <w:pPr>
              <w:jc w:val="left"/>
            </w:pPr>
            <w:r>
              <w:t>Nov 2019-Jan 2020</w:t>
            </w:r>
          </w:p>
        </w:tc>
        <w:tc>
          <w:tcPr>
            <w:tcW w:w="1175" w:type="dxa"/>
            <w:vAlign w:val="bottom"/>
          </w:tcPr>
          <w:p w14:paraId="5655BFAD" w14:textId="6ECF83D2" w:rsidR="00AD66EC" w:rsidRPr="00EC1BD9" w:rsidRDefault="00AD66EC" w:rsidP="00AD66EC">
            <w:pPr>
              <w:jc w:val="left"/>
            </w:pPr>
            <w:r>
              <w:rPr>
                <w:rFonts w:ascii="Calibri" w:hAnsi="Calibri" w:cs="Calibri"/>
                <w:color w:val="000000"/>
                <w:sz w:val="22"/>
                <w:szCs w:val="22"/>
              </w:rPr>
              <w:t xml:space="preserve"> 0.01</w:t>
            </w:r>
          </w:p>
        </w:tc>
        <w:tc>
          <w:tcPr>
            <w:tcW w:w="1175" w:type="dxa"/>
            <w:vAlign w:val="bottom"/>
          </w:tcPr>
          <w:p w14:paraId="32A728A4" w14:textId="7806CCB4" w:rsidR="00AD66EC" w:rsidRPr="00EC1BD9" w:rsidRDefault="00AD66EC" w:rsidP="00AD66EC">
            <w:r>
              <w:rPr>
                <w:rFonts w:ascii="Calibri" w:hAnsi="Calibri" w:cs="Calibri"/>
                <w:color w:val="000000"/>
                <w:sz w:val="22"/>
                <w:szCs w:val="22"/>
              </w:rPr>
              <w:t>0.32</w:t>
            </w:r>
          </w:p>
        </w:tc>
        <w:tc>
          <w:tcPr>
            <w:tcW w:w="1175" w:type="dxa"/>
            <w:vAlign w:val="bottom"/>
          </w:tcPr>
          <w:p w14:paraId="51CED86B" w14:textId="5C6EE71A" w:rsidR="00AD66EC" w:rsidRPr="00EC1BD9" w:rsidRDefault="00AD66EC" w:rsidP="00AD66EC">
            <w:r>
              <w:rPr>
                <w:rFonts w:ascii="Calibri" w:hAnsi="Calibri" w:cs="Calibri"/>
                <w:color w:val="000000"/>
                <w:sz w:val="22"/>
                <w:szCs w:val="22"/>
              </w:rPr>
              <w:t>0.94</w:t>
            </w:r>
          </w:p>
        </w:tc>
        <w:tc>
          <w:tcPr>
            <w:tcW w:w="1175" w:type="dxa"/>
            <w:vAlign w:val="bottom"/>
          </w:tcPr>
          <w:p w14:paraId="07516D99" w14:textId="3A4D96DF" w:rsidR="00AD66EC" w:rsidRPr="00EC1BD9" w:rsidRDefault="00AD66EC" w:rsidP="00AD66EC">
            <w:r>
              <w:rPr>
                <w:rFonts w:ascii="Calibri" w:hAnsi="Calibri" w:cs="Calibri"/>
                <w:color w:val="000000"/>
                <w:sz w:val="22"/>
                <w:szCs w:val="22"/>
              </w:rPr>
              <w:t>0.54</w:t>
            </w:r>
          </w:p>
        </w:tc>
        <w:tc>
          <w:tcPr>
            <w:tcW w:w="1175" w:type="dxa"/>
            <w:vAlign w:val="bottom"/>
          </w:tcPr>
          <w:p w14:paraId="59E62933" w14:textId="514CDBE9" w:rsidR="00AD66EC" w:rsidRPr="00EC1BD9" w:rsidRDefault="00AD66EC" w:rsidP="00AD66EC">
            <w:r>
              <w:rPr>
                <w:rFonts w:ascii="Calibri" w:hAnsi="Calibri" w:cs="Calibri"/>
                <w:color w:val="000000"/>
                <w:sz w:val="22"/>
                <w:szCs w:val="22"/>
              </w:rPr>
              <w:t>0.98</w:t>
            </w:r>
          </w:p>
        </w:tc>
        <w:tc>
          <w:tcPr>
            <w:tcW w:w="1175" w:type="dxa"/>
            <w:vAlign w:val="bottom"/>
          </w:tcPr>
          <w:p w14:paraId="6DC76038" w14:textId="0B9E21F4" w:rsidR="00AD66EC" w:rsidRPr="00EC1BD9" w:rsidRDefault="00AD66EC" w:rsidP="00AD66EC">
            <w:r>
              <w:rPr>
                <w:rFonts w:ascii="Calibri" w:hAnsi="Calibri" w:cs="Calibri"/>
                <w:color w:val="000000"/>
                <w:sz w:val="22"/>
                <w:szCs w:val="22"/>
              </w:rPr>
              <w:t>0.12</w:t>
            </w:r>
          </w:p>
        </w:tc>
        <w:tc>
          <w:tcPr>
            <w:tcW w:w="1175" w:type="dxa"/>
            <w:vAlign w:val="bottom"/>
          </w:tcPr>
          <w:p w14:paraId="14C32441" w14:textId="49CD3F79" w:rsidR="00AD66EC" w:rsidRPr="00EC1BD9" w:rsidRDefault="00AD66EC" w:rsidP="00AD66EC">
            <w:r>
              <w:rPr>
                <w:rFonts w:ascii="Calibri" w:hAnsi="Calibri" w:cs="Calibri"/>
                <w:color w:val="000000"/>
                <w:sz w:val="22"/>
                <w:szCs w:val="22"/>
              </w:rPr>
              <w:t>0.87</w:t>
            </w:r>
          </w:p>
        </w:tc>
      </w:tr>
    </w:tbl>
    <w:p w14:paraId="04A873ED" w14:textId="77777777" w:rsidR="00216EA7" w:rsidRDefault="00216EA7" w:rsidP="00D1241F">
      <w:pPr>
        <w:jc w:val="center"/>
        <w:rPr>
          <w:bCs/>
          <w:sz w:val="16"/>
          <w:szCs w:val="16"/>
        </w:rPr>
      </w:pPr>
    </w:p>
    <w:p w14:paraId="4D73EAF1" w14:textId="77777777" w:rsidR="009B16FB" w:rsidRPr="00B0618B" w:rsidRDefault="009B16FB" w:rsidP="00D1241F">
      <w:pPr>
        <w:jc w:val="center"/>
        <w:rPr>
          <w:bCs/>
          <w:sz w:val="16"/>
          <w:szCs w:val="16"/>
        </w:rPr>
      </w:pPr>
      <w:r w:rsidRPr="00B0618B">
        <w:rPr>
          <w:bCs/>
          <w:sz w:val="16"/>
          <w:szCs w:val="16"/>
        </w:rPr>
        <w:t>Table 1</w:t>
      </w:r>
      <w:r w:rsidR="00B0618B">
        <w:rPr>
          <w:bCs/>
          <w:sz w:val="16"/>
          <w:szCs w:val="16"/>
        </w:rPr>
        <w:t>.</w:t>
      </w:r>
      <w:r w:rsidRPr="00B0618B">
        <w:rPr>
          <w:bCs/>
          <w:sz w:val="16"/>
          <w:szCs w:val="16"/>
        </w:rPr>
        <w:t xml:space="preserve"> Large-scale oceanic indices (°C). Anomalies are with respect to the 1981–2010 average. (</w:t>
      </w:r>
      <w:r w:rsidRPr="00D1241F">
        <w:rPr>
          <w:bCs/>
          <w:i/>
          <w:iCs/>
          <w:sz w:val="16"/>
          <w:szCs w:val="16"/>
        </w:rPr>
        <w:t>Source:</w:t>
      </w:r>
      <w:r w:rsidRPr="00B0618B">
        <w:rPr>
          <w:bCs/>
          <w:sz w:val="16"/>
          <w:szCs w:val="16"/>
        </w:rPr>
        <w:t xml:space="preserve"> U.S. Climate Prediction Center)</w:t>
      </w:r>
    </w:p>
    <w:p w14:paraId="730900F4" w14:textId="77777777" w:rsidR="00B0618B" w:rsidRPr="0057036B" w:rsidRDefault="00B0618B" w:rsidP="00E811A4"/>
    <w:p w14:paraId="3B7695F0" w14:textId="77777777" w:rsidR="009B16FB" w:rsidRPr="0057036B" w:rsidRDefault="009B16FB" w:rsidP="00D1241F">
      <w:pPr>
        <w:pStyle w:val="Heading3"/>
      </w:pPr>
      <w:r w:rsidRPr="0057036B">
        <w:t>1.2</w:t>
      </w:r>
      <w:r w:rsidRPr="0057036B">
        <w:tab/>
        <w:t>Observed temperature</w:t>
      </w:r>
    </w:p>
    <w:p w14:paraId="61B4A000" w14:textId="15C80AC5" w:rsidR="004C62AD" w:rsidRPr="00F94C2C" w:rsidRDefault="004C62AD" w:rsidP="004C62AD">
      <w:r w:rsidRPr="00F94C2C">
        <w:t>Temperature anomalies across the globe continued the trend of warmer</w:t>
      </w:r>
      <w:r>
        <w:t>-</w:t>
      </w:r>
      <w:r w:rsidRPr="00F94C2C">
        <w:t>than</w:t>
      </w:r>
      <w:r>
        <w:t>-</w:t>
      </w:r>
      <w:r w:rsidRPr="00F94C2C">
        <w:t xml:space="preserve">normal conditions for the months </w:t>
      </w:r>
      <w:r>
        <w:t xml:space="preserve">of </w:t>
      </w:r>
      <w:r w:rsidR="00175902">
        <w:t>November 2019-January 2020</w:t>
      </w:r>
      <w:r w:rsidR="00175902" w:rsidDel="00175902">
        <w:t xml:space="preserve"> </w:t>
      </w:r>
      <w:r w:rsidRPr="00F94C2C">
        <w:t>(Figure 2, top). Above</w:t>
      </w:r>
      <w:r>
        <w:t>-</w:t>
      </w:r>
      <w:r w:rsidRPr="00F94C2C">
        <w:t>normal temperatures dominated the globe, with a few areas of cool anomalies</w:t>
      </w:r>
      <w:r w:rsidR="00800364">
        <w:t xml:space="preserve">, primarily </w:t>
      </w:r>
      <w:r w:rsidR="001344B7">
        <w:t xml:space="preserve">interspersed </w:t>
      </w:r>
      <w:r w:rsidR="00800364">
        <w:t>over the oceans</w:t>
      </w:r>
      <w:r w:rsidRPr="00F94C2C">
        <w:t>. The warmest land anomalies occurred over</w:t>
      </w:r>
      <w:r>
        <w:t xml:space="preserve"> </w:t>
      </w:r>
      <w:r w:rsidR="00B5371A">
        <w:t>Northern Europe, Australia, east Asia, south</w:t>
      </w:r>
      <w:r w:rsidR="001344B7">
        <w:t>we</w:t>
      </w:r>
      <w:r w:rsidR="00B5371A">
        <w:t>st Africa</w:t>
      </w:r>
      <w:r>
        <w:t xml:space="preserve"> </w:t>
      </w:r>
      <w:r w:rsidR="005345CE">
        <w:t xml:space="preserve">and </w:t>
      </w:r>
      <w:r>
        <w:t xml:space="preserve">South America. </w:t>
      </w:r>
      <w:r w:rsidRPr="00F94C2C">
        <w:t>Embedded within the general warmth</w:t>
      </w:r>
      <w:r>
        <w:t xml:space="preserve"> </w:t>
      </w:r>
      <w:r w:rsidRPr="00F94C2C">
        <w:t xml:space="preserve">over land, </w:t>
      </w:r>
      <w:r>
        <w:t>regions</w:t>
      </w:r>
      <w:r w:rsidRPr="00F94C2C">
        <w:t xml:space="preserve"> of below-normal land temperature were located over </w:t>
      </w:r>
      <w:r>
        <w:t>northwest</w:t>
      </w:r>
      <w:r w:rsidRPr="00F94C2C">
        <w:t xml:space="preserve"> North America</w:t>
      </w:r>
      <w:r>
        <w:t xml:space="preserve"> and </w:t>
      </w:r>
      <w:r w:rsidR="005345CE">
        <w:t xml:space="preserve">southwest Asia </w:t>
      </w:r>
      <w:r w:rsidR="001344B7">
        <w:t>north of</w:t>
      </w:r>
      <w:r w:rsidR="005345CE">
        <w:t xml:space="preserve"> the Arabian sea</w:t>
      </w:r>
      <w:r w:rsidRPr="00F94C2C">
        <w:t>.</w:t>
      </w:r>
    </w:p>
    <w:p w14:paraId="4D2123AD" w14:textId="4689622B" w:rsidR="004C62AD" w:rsidRPr="00F94C2C" w:rsidRDefault="004C62AD" w:rsidP="004C62AD">
      <w:r>
        <w:t xml:space="preserve">With the </w:t>
      </w:r>
      <w:r w:rsidRPr="00F94C2C">
        <w:t>except</w:t>
      </w:r>
      <w:r>
        <w:t>ion of</w:t>
      </w:r>
      <w:r w:rsidRPr="00F94C2C">
        <w:t xml:space="preserve"> small areas of cooler-than-normal temperatures </w:t>
      </w:r>
      <w:r>
        <w:t>in the</w:t>
      </w:r>
      <w:r w:rsidR="00175902">
        <w:t xml:space="preserve"> extratropical southern oceans an</w:t>
      </w:r>
      <w:r>
        <w:t xml:space="preserve">d southeast equatorial Pacific, most oceanic regions </w:t>
      </w:r>
      <w:r w:rsidRPr="00F94C2C">
        <w:t xml:space="preserve">had positive temperature anomalies. SSTs in the equatorial </w:t>
      </w:r>
      <w:r w:rsidR="00175902">
        <w:t xml:space="preserve">central </w:t>
      </w:r>
      <w:r w:rsidRPr="00F94C2C">
        <w:t xml:space="preserve">Pacific indicated </w:t>
      </w:r>
      <w:r w:rsidR="00175902">
        <w:t xml:space="preserve">weak </w:t>
      </w:r>
      <w:r w:rsidRPr="00F94C2C">
        <w:t>El Niño conditions</w:t>
      </w:r>
      <w:r>
        <w:t xml:space="preserve"> in the </w:t>
      </w:r>
      <w:r w:rsidR="00175902">
        <w:t>w</w:t>
      </w:r>
      <w:r w:rsidR="00800364">
        <w:t>e</w:t>
      </w:r>
      <w:r>
        <w:t>st-central equatorial Pacific</w:t>
      </w:r>
      <w:r w:rsidRPr="00F94C2C">
        <w:t xml:space="preserve">. SST anomalies throughout the extratropical North Pacific </w:t>
      </w:r>
      <w:r w:rsidR="00175902">
        <w:t xml:space="preserve">and equatorial Atlantic </w:t>
      </w:r>
      <w:r w:rsidRPr="00F94C2C">
        <w:t xml:space="preserve">Ocean were generally positive. </w:t>
      </w:r>
    </w:p>
    <w:p w14:paraId="0B6279B8" w14:textId="377FC61D" w:rsidR="004C62AD" w:rsidRDefault="004C62AD" w:rsidP="004C62AD">
      <w:r w:rsidRPr="00F94C2C">
        <w:t xml:space="preserve">Consistent with the seasonal mean anomalies, warm extremes dominated (Figure 2, bottom panel). Warm extremes (exceeding </w:t>
      </w:r>
      <w:r>
        <w:t xml:space="preserve">all seasonal mean </w:t>
      </w:r>
      <w:r w:rsidRPr="00F94C2C">
        <w:t xml:space="preserve">temperatures observed during 1981–2010) occurred over </w:t>
      </w:r>
      <w:r>
        <w:t>central and south</w:t>
      </w:r>
      <w:r w:rsidR="00AF5E81">
        <w:t>we</w:t>
      </w:r>
      <w:r w:rsidR="00800364">
        <w:t>st</w:t>
      </w:r>
      <w:r>
        <w:t xml:space="preserve"> Africa</w:t>
      </w:r>
      <w:r w:rsidR="00800364">
        <w:t>, Australia</w:t>
      </w:r>
      <w:r>
        <w:t xml:space="preserve"> and over some regions of tropical eastern South America.</w:t>
      </w:r>
      <w:r w:rsidRPr="00F94C2C">
        <w:t xml:space="preserve"> </w:t>
      </w:r>
      <w:r w:rsidR="00800364">
        <w:t xml:space="preserve">No significant cold temperature was found over land areas. The only cold extreme over oceans was found in the southern ocean southeast of the African continent. </w:t>
      </w:r>
    </w:p>
    <w:p w14:paraId="1DF0F10D" w14:textId="77777777" w:rsidR="008A0FC8" w:rsidRDefault="008A0FC8" w:rsidP="008A0FC8"/>
    <w:p w14:paraId="3F5C335A" w14:textId="0B180ADE" w:rsidR="008A0FC8" w:rsidRDefault="00AB4683" w:rsidP="008A0FC8">
      <w:pPr>
        <w:jc w:val="center"/>
      </w:pPr>
      <w:r w:rsidRPr="00B63638">
        <w:rPr>
          <w:noProof/>
          <w:lang w:val="en-US" w:eastAsia="en-US"/>
        </w:rPr>
        <w:lastRenderedPageBreak/>
        <w:drawing>
          <wp:inline distT="0" distB="0" distL="0" distR="0" wp14:anchorId="346591A9" wp14:editId="3791BDE9">
            <wp:extent cx="5193792" cy="4014216"/>
            <wp:effectExtent l="0" t="0" r="6985" b="5715"/>
            <wp:docPr id="4"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ED6A55-A2FB-47C7-B455-17339A2F1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ED6A55-A2FB-47C7-B455-17339A2F1FAA}"/>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93792" cy="4014216"/>
                    </a:xfrm>
                    <a:prstGeom prst="rect">
                      <a:avLst/>
                    </a:prstGeom>
                  </pic:spPr>
                </pic:pic>
              </a:graphicData>
            </a:graphic>
          </wp:inline>
        </w:drawing>
      </w:r>
    </w:p>
    <w:p w14:paraId="1EAAFC1B" w14:textId="46079936" w:rsidR="008A0FC8" w:rsidRDefault="00B5371A" w:rsidP="001915B4">
      <w:pPr>
        <w:jc w:val="center"/>
      </w:pPr>
      <w:r w:rsidRPr="00B63638">
        <w:rPr>
          <w:noProof/>
          <w:lang w:val="en-US" w:eastAsia="en-US"/>
        </w:rPr>
        <w:drawing>
          <wp:inline distT="0" distB="0" distL="0" distR="0" wp14:anchorId="2C8D91B2" wp14:editId="4E1B34C7">
            <wp:extent cx="5193792" cy="4014216"/>
            <wp:effectExtent l="0" t="0" r="6985" b="5715"/>
            <wp:docPr id="1"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F33AC5-1005-435C-BCA3-E6C7BEF28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F33AC5-1005-435C-BCA3-E6C7BEF28512}"/>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93792" cy="4014216"/>
                    </a:xfrm>
                    <a:prstGeom prst="rect">
                      <a:avLst/>
                    </a:prstGeom>
                  </pic:spPr>
                </pic:pic>
              </a:graphicData>
            </a:graphic>
          </wp:inline>
        </w:drawing>
      </w:r>
    </w:p>
    <w:p w14:paraId="409E45EC" w14:textId="1F669EA3" w:rsidR="009B16FB" w:rsidRPr="008A358B" w:rsidRDefault="009B16FB" w:rsidP="002C6937">
      <w:pPr>
        <w:jc w:val="center"/>
      </w:pPr>
      <w:r w:rsidRPr="008670EE">
        <w:rPr>
          <w:bCs/>
          <w:sz w:val="16"/>
          <w:szCs w:val="16"/>
        </w:rPr>
        <w:t>Figure 2</w:t>
      </w:r>
      <w:r w:rsidR="008670EE">
        <w:rPr>
          <w:bCs/>
          <w:sz w:val="16"/>
          <w:szCs w:val="16"/>
        </w:rPr>
        <w:t>.</w:t>
      </w:r>
      <w:r w:rsidRPr="008670EE">
        <w:rPr>
          <w:bCs/>
          <w:sz w:val="16"/>
          <w:szCs w:val="16"/>
        </w:rPr>
        <w:t xml:space="preserve"> Observed </w:t>
      </w:r>
      <w:r w:rsidR="00B5371A">
        <w:rPr>
          <w:bCs/>
          <w:sz w:val="16"/>
          <w:szCs w:val="16"/>
        </w:rPr>
        <w:t>November 2019-January 2020</w:t>
      </w:r>
      <w:r w:rsidRPr="008670EE">
        <w:rPr>
          <w:bCs/>
          <w:sz w:val="16"/>
          <w:szCs w:val="16"/>
        </w:rPr>
        <w:t xml:space="preserve"> near-surface temperature anomalies relative to 1981</w:t>
      </w:r>
      <w:r w:rsidR="004F779A">
        <w:rPr>
          <w:bCs/>
          <w:sz w:val="16"/>
          <w:szCs w:val="16"/>
        </w:rPr>
        <w:t>–</w:t>
      </w:r>
      <w:r w:rsidRPr="008670EE">
        <w:rPr>
          <w:bCs/>
          <w:sz w:val="16"/>
          <w:szCs w:val="16"/>
        </w:rPr>
        <w:t xml:space="preserve">2010 (top). The </w:t>
      </w:r>
      <w:r w:rsidRPr="008670EE">
        <w:rPr>
          <w:bCs/>
          <w:i/>
          <w:sz w:val="16"/>
          <w:szCs w:val="16"/>
        </w:rPr>
        <w:t>Cooler than Normal, Near Normal, and Warmer than Normal</w:t>
      </w:r>
      <w:r w:rsidRPr="008670EE">
        <w:rPr>
          <w:bCs/>
          <w:sz w:val="16"/>
          <w:szCs w:val="16"/>
        </w:rPr>
        <w:t xml:space="preserve"> shadings on the percentile map (bottom) indicate that seasonal mean anomalies were in the bottom, middle, and upper tercile of the 1981</w:t>
      </w:r>
      <w:r w:rsidR="004F779A">
        <w:rPr>
          <w:bCs/>
          <w:sz w:val="16"/>
          <w:szCs w:val="16"/>
        </w:rPr>
        <w:t>–</w:t>
      </w:r>
      <w:r w:rsidRPr="008670EE">
        <w:rPr>
          <w:bCs/>
          <w:sz w:val="16"/>
          <w:szCs w:val="16"/>
        </w:rPr>
        <w:t xml:space="preserve">2010 distribution, respectively. Regions with anomalies in the lowest and highest decile (or 10%) of the distribution are marked as </w:t>
      </w:r>
      <w:r w:rsidRPr="008670EE">
        <w:rPr>
          <w:bCs/>
          <w:i/>
          <w:sz w:val="16"/>
          <w:szCs w:val="16"/>
        </w:rPr>
        <w:t>Much Cooler than Normal</w:t>
      </w:r>
      <w:r w:rsidRPr="008670EE">
        <w:rPr>
          <w:bCs/>
          <w:sz w:val="16"/>
          <w:szCs w:val="16"/>
        </w:rPr>
        <w:t xml:space="preserve"> and </w:t>
      </w:r>
      <w:r w:rsidRPr="008670EE">
        <w:rPr>
          <w:bCs/>
          <w:i/>
          <w:sz w:val="16"/>
          <w:szCs w:val="16"/>
        </w:rPr>
        <w:t>Much Warmer than Normal</w:t>
      </w:r>
      <w:r w:rsidRPr="008670EE">
        <w:rPr>
          <w:bCs/>
          <w:sz w:val="16"/>
          <w:szCs w:val="16"/>
        </w:rPr>
        <w:t xml:space="preserve">, respectively. The </w:t>
      </w:r>
      <w:r w:rsidRPr="008670EE">
        <w:rPr>
          <w:bCs/>
          <w:i/>
          <w:sz w:val="16"/>
          <w:szCs w:val="16"/>
        </w:rPr>
        <w:t>Cold Extreme</w:t>
      </w:r>
      <w:r w:rsidRPr="008670EE">
        <w:rPr>
          <w:bCs/>
          <w:sz w:val="16"/>
          <w:szCs w:val="16"/>
        </w:rPr>
        <w:t xml:space="preserve"> and </w:t>
      </w:r>
      <w:r w:rsidRPr="008670EE">
        <w:rPr>
          <w:bCs/>
          <w:i/>
          <w:sz w:val="16"/>
          <w:szCs w:val="16"/>
        </w:rPr>
        <w:t>Warm Extreme</w:t>
      </w:r>
      <w:r w:rsidRPr="008670EE">
        <w:rPr>
          <w:bCs/>
          <w:sz w:val="16"/>
          <w:szCs w:val="16"/>
        </w:rPr>
        <w:t xml:space="preserve"> shadings indicate that the anomalies exceeded the coldest and warmest temperature values of the 1981</w:t>
      </w:r>
      <w:r w:rsidR="004F779A">
        <w:rPr>
          <w:bCs/>
          <w:sz w:val="16"/>
          <w:szCs w:val="16"/>
        </w:rPr>
        <w:t>–</w:t>
      </w:r>
      <w:r w:rsidRPr="008670EE">
        <w:rPr>
          <w:bCs/>
          <w:sz w:val="16"/>
          <w:szCs w:val="16"/>
        </w:rPr>
        <w:t>2010 period for the season. Grey shading indicates areas where observational analysis was not available. (</w:t>
      </w:r>
      <w:r w:rsidRPr="008670EE">
        <w:rPr>
          <w:bCs/>
          <w:i/>
          <w:iCs/>
          <w:sz w:val="16"/>
          <w:szCs w:val="16"/>
        </w:rPr>
        <w:t>Source:</w:t>
      </w:r>
      <w:r w:rsidRPr="008670EE">
        <w:rPr>
          <w:bCs/>
          <w:sz w:val="16"/>
          <w:szCs w:val="16"/>
        </w:rPr>
        <w:t xml:space="preserve"> U.S. Climate Prediction Center).</w:t>
      </w:r>
    </w:p>
    <w:p w14:paraId="12ED3D56" w14:textId="1A23715E" w:rsidR="009B16FB" w:rsidRPr="0057036B" w:rsidRDefault="00B5371A" w:rsidP="00856EDF">
      <w:pPr>
        <w:pStyle w:val="Heading2"/>
        <w:jc w:val="center"/>
      </w:pPr>
      <w:r w:rsidRPr="00B63638">
        <w:rPr>
          <w:noProof/>
          <w:lang w:val="en-US" w:eastAsia="en-US"/>
        </w:rPr>
        <w:lastRenderedPageBreak/>
        <w:drawing>
          <wp:inline distT="0" distB="0" distL="0" distR="0" wp14:anchorId="5CC0ED07" wp14:editId="70520320">
            <wp:extent cx="5193792" cy="4014216"/>
            <wp:effectExtent l="0" t="0" r="6985" b="5715"/>
            <wp:docPr id="5"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0CAEDA-CE56-4B5B-AAB7-34235B812D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0CAEDA-CE56-4B5B-AAB7-34235B812D5F}"/>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93792" cy="4014216"/>
                    </a:xfrm>
                    <a:prstGeom prst="rect">
                      <a:avLst/>
                    </a:prstGeom>
                  </pic:spPr>
                </pic:pic>
              </a:graphicData>
            </a:graphic>
          </wp:inline>
        </w:drawing>
      </w:r>
    </w:p>
    <w:p w14:paraId="3256D479" w14:textId="2A4DF2F3" w:rsidR="009B16FB" w:rsidRDefault="00B5371A" w:rsidP="004F779A">
      <w:pPr>
        <w:jc w:val="center"/>
      </w:pPr>
      <w:r w:rsidRPr="00B63638">
        <w:rPr>
          <w:noProof/>
          <w:lang w:val="en-US" w:eastAsia="en-US"/>
        </w:rPr>
        <w:drawing>
          <wp:inline distT="0" distB="0" distL="0" distR="0" wp14:anchorId="0B6E274D" wp14:editId="1BE67257">
            <wp:extent cx="5193792" cy="4014216"/>
            <wp:effectExtent l="0" t="0" r="6985" b="5715"/>
            <wp:docPr id="1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6DF8F6-124F-42E5-AD82-BAE2C9E0F2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6DF8F6-124F-42E5-AD82-BAE2C9E0F272}"/>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93792" cy="4014216"/>
                    </a:xfrm>
                    <a:prstGeom prst="rect">
                      <a:avLst/>
                    </a:prstGeom>
                  </pic:spPr>
                </pic:pic>
              </a:graphicData>
            </a:graphic>
          </wp:inline>
        </w:drawing>
      </w:r>
    </w:p>
    <w:p w14:paraId="482203B1" w14:textId="48B86DA9" w:rsidR="00EB10A4" w:rsidRDefault="009B16FB" w:rsidP="00EB10A4">
      <w:pPr>
        <w:jc w:val="center"/>
      </w:pPr>
      <w:r w:rsidRPr="004F779A">
        <w:rPr>
          <w:bCs/>
          <w:sz w:val="16"/>
          <w:szCs w:val="16"/>
        </w:rPr>
        <w:t>Figure 3</w:t>
      </w:r>
      <w:r w:rsidR="004F779A">
        <w:rPr>
          <w:bCs/>
          <w:sz w:val="16"/>
          <w:szCs w:val="16"/>
        </w:rPr>
        <w:t>.</w:t>
      </w:r>
      <w:r w:rsidRPr="004F779A">
        <w:rPr>
          <w:sz w:val="16"/>
          <w:szCs w:val="16"/>
        </w:rPr>
        <w:t xml:space="preserve"> Observed precipitation anomalies for </w:t>
      </w:r>
      <w:r w:rsidR="00B5371A">
        <w:rPr>
          <w:bCs/>
          <w:sz w:val="16"/>
          <w:szCs w:val="16"/>
        </w:rPr>
        <w:t>November 2019-January 2020</w:t>
      </w:r>
      <w:r w:rsidRPr="004F779A">
        <w:rPr>
          <w:sz w:val="16"/>
          <w:szCs w:val="16"/>
        </w:rPr>
        <w:t>, relative to 1981</w:t>
      </w:r>
      <w:r w:rsidR="004F779A">
        <w:rPr>
          <w:bCs/>
          <w:sz w:val="16"/>
          <w:szCs w:val="16"/>
        </w:rPr>
        <w:t>–</w:t>
      </w:r>
      <w:r w:rsidRPr="004F779A">
        <w:rPr>
          <w:sz w:val="16"/>
          <w:szCs w:val="16"/>
        </w:rPr>
        <w:t xml:space="preserve">2010 base period (top). The </w:t>
      </w:r>
      <w:r w:rsidRPr="004F779A">
        <w:rPr>
          <w:i/>
          <w:sz w:val="16"/>
          <w:szCs w:val="16"/>
        </w:rPr>
        <w:t>Drier than Normal, Near Normal and Wetter than Normal</w:t>
      </w:r>
      <w:r w:rsidRPr="004F779A">
        <w:rPr>
          <w:sz w:val="16"/>
          <w:szCs w:val="16"/>
        </w:rPr>
        <w:t xml:space="preserve"> shadings on the percentile map (bottom) indicate that seasonal mean anomalies were in the bottom, middle, and upper tercile of the 1981</w:t>
      </w:r>
      <w:r w:rsidR="004F779A">
        <w:rPr>
          <w:bCs/>
          <w:sz w:val="16"/>
          <w:szCs w:val="16"/>
        </w:rPr>
        <w:t>–</w:t>
      </w:r>
      <w:r w:rsidRPr="004F779A">
        <w:rPr>
          <w:sz w:val="16"/>
          <w:szCs w:val="16"/>
        </w:rPr>
        <w:t xml:space="preserve">2010 distribution, respectively. Regions with anomalies in the lowest and highest decile (or 10%) of the distribution are marked as </w:t>
      </w:r>
      <w:r w:rsidRPr="004F779A">
        <w:rPr>
          <w:i/>
          <w:sz w:val="16"/>
          <w:szCs w:val="16"/>
        </w:rPr>
        <w:t>Much Drier than Normal</w:t>
      </w:r>
      <w:r w:rsidRPr="004F779A">
        <w:rPr>
          <w:sz w:val="16"/>
          <w:szCs w:val="16"/>
        </w:rPr>
        <w:t xml:space="preserve"> and </w:t>
      </w:r>
      <w:r w:rsidRPr="004F779A">
        <w:rPr>
          <w:i/>
          <w:sz w:val="16"/>
          <w:szCs w:val="16"/>
        </w:rPr>
        <w:t>Much Wetter than Normal</w:t>
      </w:r>
      <w:r w:rsidRPr="004F779A">
        <w:rPr>
          <w:sz w:val="16"/>
          <w:szCs w:val="16"/>
        </w:rPr>
        <w:t xml:space="preserve">, respectively. The </w:t>
      </w:r>
      <w:r w:rsidRPr="004F779A">
        <w:rPr>
          <w:i/>
          <w:sz w:val="16"/>
          <w:szCs w:val="16"/>
        </w:rPr>
        <w:t>Dry Extreme</w:t>
      </w:r>
      <w:r w:rsidRPr="004F779A">
        <w:rPr>
          <w:sz w:val="16"/>
          <w:szCs w:val="16"/>
        </w:rPr>
        <w:t xml:space="preserve"> and </w:t>
      </w:r>
      <w:r w:rsidRPr="004F779A">
        <w:rPr>
          <w:i/>
          <w:sz w:val="16"/>
          <w:szCs w:val="16"/>
        </w:rPr>
        <w:t>Wet Extreme</w:t>
      </w:r>
      <w:r w:rsidRPr="004F779A">
        <w:rPr>
          <w:sz w:val="16"/>
          <w:szCs w:val="16"/>
        </w:rPr>
        <w:t xml:space="preserve"> shadings indicate that the anomalies exceeded the driest and wettest values of the 1981</w:t>
      </w:r>
      <w:r w:rsidR="004F779A">
        <w:rPr>
          <w:bCs/>
          <w:sz w:val="16"/>
          <w:szCs w:val="16"/>
        </w:rPr>
        <w:t>–</w:t>
      </w:r>
      <w:r w:rsidRPr="004F779A">
        <w:rPr>
          <w:sz w:val="16"/>
          <w:szCs w:val="16"/>
        </w:rPr>
        <w:t xml:space="preserve">2010 period for the season. </w:t>
      </w:r>
      <w:r w:rsidR="004F779A">
        <w:rPr>
          <w:sz w:val="16"/>
          <w:szCs w:val="16"/>
        </w:rPr>
        <w:br/>
      </w:r>
      <w:r w:rsidRPr="004F779A">
        <w:rPr>
          <w:sz w:val="16"/>
          <w:szCs w:val="16"/>
        </w:rPr>
        <w:t>(</w:t>
      </w:r>
      <w:r w:rsidRPr="004F779A">
        <w:rPr>
          <w:i/>
          <w:iCs/>
          <w:sz w:val="16"/>
          <w:szCs w:val="16"/>
        </w:rPr>
        <w:t>Source:</w:t>
      </w:r>
      <w:r w:rsidRPr="004F779A">
        <w:rPr>
          <w:sz w:val="16"/>
          <w:szCs w:val="16"/>
        </w:rPr>
        <w:t xml:space="preserve"> U.S. Climate Prediction Center).</w:t>
      </w:r>
      <w:r w:rsidR="00EB10A4" w:rsidRPr="0057036B">
        <w:t xml:space="preserve"> </w:t>
      </w:r>
    </w:p>
    <w:p w14:paraId="5BF4800E" w14:textId="77777777" w:rsidR="00EB10A4" w:rsidRDefault="00EB10A4" w:rsidP="00EB10A4">
      <w:pPr>
        <w:jc w:val="left"/>
      </w:pPr>
    </w:p>
    <w:p w14:paraId="4DE1825C" w14:textId="77777777" w:rsidR="00EB10A4" w:rsidRDefault="00EB10A4" w:rsidP="00EB10A4">
      <w:pPr>
        <w:jc w:val="left"/>
      </w:pPr>
    </w:p>
    <w:p w14:paraId="5F52E520" w14:textId="77777777" w:rsidR="009B16FB" w:rsidRPr="00F94C2C" w:rsidRDefault="009B16FB" w:rsidP="00EB10A4">
      <w:pPr>
        <w:jc w:val="left"/>
      </w:pPr>
      <w:r w:rsidRPr="00F94C2C">
        <w:t>1.3</w:t>
      </w:r>
      <w:r w:rsidRPr="00F94C2C">
        <w:tab/>
        <w:t>Observed precipitation</w:t>
      </w:r>
    </w:p>
    <w:p w14:paraId="71A4419D" w14:textId="488052D7" w:rsidR="004C62AD" w:rsidRDefault="004C62AD" w:rsidP="004C62AD">
      <w:r w:rsidRPr="00F94C2C">
        <w:t xml:space="preserve">For </w:t>
      </w:r>
      <w:r w:rsidR="00800364">
        <w:t>November 2019-January 2020</w:t>
      </w:r>
      <w:r w:rsidRPr="00F94C2C">
        <w:t xml:space="preserve"> </w:t>
      </w:r>
      <w:r>
        <w:t xml:space="preserve">the largest below-normal </w:t>
      </w:r>
      <w:r w:rsidRPr="00F94C2C">
        <w:t xml:space="preserve">precipitation anomalies were located </w:t>
      </w:r>
      <w:r>
        <w:t>near the Indonesian Archipelago, consistent with a strong positive phase of the I</w:t>
      </w:r>
      <w:r w:rsidR="006B0827">
        <w:t>ndian Ocean Dipole</w:t>
      </w:r>
      <w:r>
        <w:t xml:space="preserve">. </w:t>
      </w:r>
      <w:r w:rsidR="00800364">
        <w:t>West</w:t>
      </w:r>
      <w:r w:rsidR="006B0827">
        <w:t xml:space="preserve"> </w:t>
      </w:r>
      <w:r>
        <w:t>of these below-normal precipitation anomalies</w:t>
      </w:r>
      <w:r w:rsidR="00A74D7C">
        <w:t>,</w:t>
      </w:r>
      <w:r>
        <w:t xml:space="preserve"> above-normal precipitation anomalies were located over the Indian </w:t>
      </w:r>
      <w:r w:rsidR="00800364">
        <w:t>Ocean and eastern parts of equatorial Africa</w:t>
      </w:r>
      <w:r>
        <w:t xml:space="preserve">. </w:t>
      </w:r>
      <w:r w:rsidR="00800364">
        <w:t xml:space="preserve">In the equatorial </w:t>
      </w:r>
      <w:r w:rsidR="00024E4D">
        <w:t xml:space="preserve">western </w:t>
      </w:r>
      <w:r w:rsidR="00800364">
        <w:t>Pacific</w:t>
      </w:r>
      <w:r w:rsidR="00024E4D">
        <w:t xml:space="preserve"> above-normal precipitation anomalies were </w:t>
      </w:r>
      <w:r w:rsidR="00073ACC">
        <w:t>observed</w:t>
      </w:r>
      <w:r w:rsidR="00024E4D">
        <w:t xml:space="preserve"> and were located east of below-normal anomalies over the Indonesian </w:t>
      </w:r>
      <w:r w:rsidR="006B0827">
        <w:t xml:space="preserve">Archipelago; these anomalies </w:t>
      </w:r>
      <w:r w:rsidR="00024E4D">
        <w:t xml:space="preserve">were also flanked by below normal precipitation anomalies over the central Pacific. </w:t>
      </w:r>
      <w:r>
        <w:t>A zonal band of below-normal precipitation anomalies stretched across the central and eastern equatorial Pacific and were flanked by above-normal precipitation anomalies to the north.</w:t>
      </w:r>
      <w:r w:rsidRPr="00F94C2C">
        <w:t xml:space="preserve"> </w:t>
      </w:r>
      <w:r>
        <w:t xml:space="preserve">Below-normal precipitation occurred over </w:t>
      </w:r>
      <w:r w:rsidR="00320929">
        <w:t xml:space="preserve">most of </w:t>
      </w:r>
      <w:r>
        <w:t xml:space="preserve">Australia with the largest values over the </w:t>
      </w:r>
      <w:r w:rsidR="00024E4D">
        <w:t xml:space="preserve">north and northeast </w:t>
      </w:r>
      <w:r>
        <w:t xml:space="preserve">regions. </w:t>
      </w:r>
      <w:r w:rsidR="00024E4D">
        <w:t>A northwest-to-</w:t>
      </w:r>
      <w:r w:rsidR="00AE7F25">
        <w:t>sou</w:t>
      </w:r>
      <w:r w:rsidR="00024E4D">
        <w:t xml:space="preserve">theast band of below-normal </w:t>
      </w:r>
      <w:r w:rsidRPr="00F94C2C">
        <w:t>precipitation anomalies</w:t>
      </w:r>
      <w:r>
        <w:t xml:space="preserve"> </w:t>
      </w:r>
      <w:r w:rsidR="00024E4D">
        <w:t>stretched across from western equatorial Africa to southeast Africa.</w:t>
      </w:r>
      <w:r>
        <w:t xml:space="preserve"> </w:t>
      </w:r>
      <w:r w:rsidRPr="00F94C2C">
        <w:t xml:space="preserve">A band of negative precipitation anomalies extended from </w:t>
      </w:r>
      <w:r w:rsidR="00B0705F">
        <w:t xml:space="preserve">the </w:t>
      </w:r>
      <w:r>
        <w:t xml:space="preserve">eastern </w:t>
      </w:r>
      <w:r w:rsidR="00B0705F">
        <w:t>north-</w:t>
      </w:r>
      <w:r w:rsidR="00024E4D">
        <w:t xml:space="preserve">equatorial Atlantic </w:t>
      </w:r>
      <w:r>
        <w:t xml:space="preserve">into </w:t>
      </w:r>
      <w:r w:rsidR="00B0705F">
        <w:t xml:space="preserve">the Caribbean and </w:t>
      </w:r>
      <w:r>
        <w:t xml:space="preserve">Central America. </w:t>
      </w:r>
      <w:r w:rsidR="006B0827">
        <w:t>Over South America</w:t>
      </w:r>
      <w:r w:rsidR="00B0705F">
        <w:t>,</w:t>
      </w:r>
      <w:r w:rsidR="006B0827">
        <w:t xml:space="preserve"> interspersed patches of below- and above-normal precipitation anomalies were spread throughout the continent.</w:t>
      </w:r>
    </w:p>
    <w:p w14:paraId="45760E5C" w14:textId="0E0C9A10" w:rsidR="004C62AD" w:rsidRDefault="004C62AD" w:rsidP="004C62AD">
      <w:r>
        <w:t>No large-scale systematic regions with d</w:t>
      </w:r>
      <w:r w:rsidRPr="00F94C2C">
        <w:t xml:space="preserve">ry </w:t>
      </w:r>
      <w:r>
        <w:t xml:space="preserve">or wet </w:t>
      </w:r>
      <w:r w:rsidRPr="00F94C2C">
        <w:t xml:space="preserve">extremes (precipitation below </w:t>
      </w:r>
      <w:r>
        <w:t>or above all seasonal totals</w:t>
      </w:r>
      <w:r w:rsidRPr="00F94C2C">
        <w:t xml:space="preserve"> observed during 1981-2010) </w:t>
      </w:r>
      <w:r w:rsidRPr="00930ED2">
        <w:t xml:space="preserve">over land </w:t>
      </w:r>
      <w:r>
        <w:t>occurred, with the exception of a few</w:t>
      </w:r>
      <w:r w:rsidR="00903196">
        <w:t xml:space="preserve"> </w:t>
      </w:r>
      <w:r>
        <w:t xml:space="preserve">isolated pockets that were observed </w:t>
      </w:r>
      <w:r w:rsidR="00903196">
        <w:t xml:space="preserve">over </w:t>
      </w:r>
      <w:r>
        <w:t>Greenland (dry)</w:t>
      </w:r>
      <w:r w:rsidRPr="00F94C2C">
        <w:t xml:space="preserve">. In general, </w:t>
      </w:r>
      <w:r>
        <w:t xml:space="preserve">the </w:t>
      </w:r>
      <w:r w:rsidRPr="00F94C2C">
        <w:t>global precipitation anomaly pattern exhibit</w:t>
      </w:r>
      <w:r w:rsidR="001C289F">
        <w:t>ed</w:t>
      </w:r>
      <w:r w:rsidRPr="00F94C2C">
        <w:t xml:space="preserve"> large-scale spatial coherence </w:t>
      </w:r>
      <w:r w:rsidR="001C289F">
        <w:t>only in the equatorial tropics consistent with SST conditions associated with the IOD and weak El Niño conditions in the central Pacific</w:t>
      </w:r>
      <w:r w:rsidRPr="00F94C2C">
        <w:t>.</w:t>
      </w:r>
    </w:p>
    <w:p w14:paraId="7A1D2BFF" w14:textId="77777777" w:rsidR="00E537B8" w:rsidRPr="00BD71FB" w:rsidRDefault="00E537B8" w:rsidP="00E71BF1"/>
    <w:p w14:paraId="4C2DCB33" w14:textId="1C967DF5" w:rsidR="009B16FB" w:rsidRPr="0057036B" w:rsidRDefault="009B16FB" w:rsidP="00E71BF1">
      <w:pPr>
        <w:pStyle w:val="Heading1"/>
        <w:ind w:left="709" w:hanging="709"/>
        <w:jc w:val="left"/>
      </w:pPr>
      <w:r w:rsidRPr="0057036B">
        <w:t>2.</w:t>
      </w:r>
      <w:r w:rsidRPr="0057036B">
        <w:tab/>
        <w:t>Potential evolution of the state of the climate over the nex</w:t>
      </w:r>
      <w:r w:rsidR="00EC6319">
        <w:t>t three months (</w:t>
      </w:r>
      <w:r w:rsidR="001C289F">
        <w:t>March-April-May</w:t>
      </w:r>
      <w:r w:rsidR="004C62AD">
        <w:t xml:space="preserve"> </w:t>
      </w:r>
      <w:r w:rsidR="00575781">
        <w:t>2020</w:t>
      </w:r>
      <w:r w:rsidRPr="0057036B">
        <w:t>)</w:t>
      </w:r>
    </w:p>
    <w:p w14:paraId="13D93D38" w14:textId="56E85E23" w:rsidR="009B16FB" w:rsidRPr="0057036B" w:rsidRDefault="009B16FB" w:rsidP="00E811A4">
      <w:pPr>
        <w:pStyle w:val="Heading2"/>
      </w:pPr>
      <w:r w:rsidRPr="0057036B">
        <w:t xml:space="preserve">2.1 </w:t>
      </w:r>
      <w:r w:rsidRPr="0057036B">
        <w:tab/>
        <w:t>Large-scale SS</w:t>
      </w:r>
      <w:r w:rsidR="00483AFB">
        <w:t>T</w:t>
      </w:r>
      <w:r w:rsidR="00EC6319">
        <w:t>-based ind</w:t>
      </w:r>
      <w:r w:rsidR="004C62AD">
        <w:t xml:space="preserve">ices, </w:t>
      </w:r>
      <w:r w:rsidR="001C289F">
        <w:t>March-Apil-May</w:t>
      </w:r>
      <w:r w:rsidR="004C62AD">
        <w:t xml:space="preserve"> 2020</w:t>
      </w:r>
    </w:p>
    <w:tbl>
      <w:tblPr>
        <w:tblStyle w:val="LightShading"/>
        <w:tblW w:w="10598" w:type="dxa"/>
        <w:tblLayout w:type="fixed"/>
        <w:tblLook w:val="04A0" w:firstRow="1" w:lastRow="0" w:firstColumn="1" w:lastColumn="0" w:noHBand="0" w:noVBand="1"/>
      </w:tblPr>
      <w:tblGrid>
        <w:gridCol w:w="1548"/>
        <w:gridCol w:w="1274"/>
        <w:gridCol w:w="1296"/>
        <w:gridCol w:w="1296"/>
        <w:gridCol w:w="1296"/>
        <w:gridCol w:w="1296"/>
        <w:gridCol w:w="1296"/>
        <w:gridCol w:w="1296"/>
      </w:tblGrid>
      <w:tr w:rsidR="00620CB9" w:rsidRPr="00E71BF1" w14:paraId="12A3DC57" w14:textId="77777777" w:rsidTr="00620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59C4F40A" w14:textId="77777777" w:rsidR="00620CB9" w:rsidRPr="00E71BF1" w:rsidRDefault="00620CB9" w:rsidP="00FA5A51">
            <w:pPr>
              <w:rPr>
                <w:b w:val="0"/>
                <w:bCs w:val="0"/>
              </w:rPr>
            </w:pPr>
            <w:r w:rsidRPr="00E71BF1">
              <w:rPr>
                <w:b w:val="0"/>
                <w:bCs w:val="0"/>
              </w:rPr>
              <w:t xml:space="preserve">    Month</w:t>
            </w:r>
          </w:p>
        </w:tc>
        <w:tc>
          <w:tcPr>
            <w:tcW w:w="1274" w:type="dxa"/>
          </w:tcPr>
          <w:p w14:paraId="73D3002B"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1+2</w:t>
            </w:r>
          </w:p>
        </w:tc>
        <w:tc>
          <w:tcPr>
            <w:tcW w:w="1296" w:type="dxa"/>
          </w:tcPr>
          <w:p w14:paraId="00BA57FA"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3</w:t>
            </w:r>
          </w:p>
        </w:tc>
        <w:tc>
          <w:tcPr>
            <w:tcW w:w="1296" w:type="dxa"/>
          </w:tcPr>
          <w:p w14:paraId="07CDCA18"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4</w:t>
            </w:r>
          </w:p>
        </w:tc>
        <w:tc>
          <w:tcPr>
            <w:tcW w:w="1296" w:type="dxa"/>
          </w:tcPr>
          <w:p w14:paraId="7CCEBE01"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Nino3.4</w:t>
            </w:r>
          </w:p>
        </w:tc>
        <w:tc>
          <w:tcPr>
            <w:tcW w:w="1296" w:type="dxa"/>
          </w:tcPr>
          <w:p w14:paraId="225C160D"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IOD</w:t>
            </w:r>
          </w:p>
        </w:tc>
        <w:tc>
          <w:tcPr>
            <w:tcW w:w="1296" w:type="dxa"/>
          </w:tcPr>
          <w:p w14:paraId="41C6BF53"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NTA</w:t>
            </w:r>
          </w:p>
        </w:tc>
        <w:tc>
          <w:tcPr>
            <w:tcW w:w="1296" w:type="dxa"/>
          </w:tcPr>
          <w:p w14:paraId="00A69B63"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STA</w:t>
            </w:r>
          </w:p>
        </w:tc>
      </w:tr>
      <w:tr w:rsidR="00EA5688" w:rsidRPr="004E0BEE" w14:paraId="65C8D461" w14:textId="77777777" w:rsidTr="00FA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3348B200" w14:textId="0B0B8B8C" w:rsidR="00EA5688" w:rsidRPr="00E71BF1" w:rsidRDefault="001E71AD" w:rsidP="00EA5688">
            <w:pPr>
              <w:rPr>
                <w:b w:val="0"/>
                <w:bCs w:val="0"/>
              </w:rPr>
            </w:pPr>
            <w:r>
              <w:rPr>
                <w:rFonts w:ascii="Calibri" w:eastAsia="Times New Roman" w:hAnsi="Calibri" w:cs="Calibri"/>
              </w:rPr>
              <w:t>March 2020</w:t>
            </w:r>
          </w:p>
        </w:tc>
        <w:tc>
          <w:tcPr>
            <w:tcW w:w="1274" w:type="dxa"/>
            <w:vAlign w:val="center"/>
          </w:tcPr>
          <w:p w14:paraId="06E1786B" w14:textId="5ADA4861" w:rsidR="00EA5688" w:rsidRPr="004E0BEE" w:rsidRDefault="00EA5688" w:rsidP="00EA568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0.48</w:t>
            </w:r>
            <w:r>
              <w:rPr>
                <w:rFonts w:ascii="Calibri" w:eastAsia="Times New Roman" w:hAnsi="Calibri" w:cs="Calibri"/>
              </w:rPr>
              <w:t>±0.</w:t>
            </w:r>
            <w:r>
              <w:rPr>
                <w:rFonts w:ascii="Calibri" w:hAnsi="Calibri" w:cs="Calibri"/>
              </w:rPr>
              <w:t>28</w:t>
            </w:r>
          </w:p>
        </w:tc>
        <w:tc>
          <w:tcPr>
            <w:tcW w:w="1296" w:type="dxa"/>
            <w:vAlign w:val="center"/>
          </w:tcPr>
          <w:p w14:paraId="12D54481" w14:textId="3C80EA6F" w:rsidR="00EA5688" w:rsidRPr="004E0BEE" w:rsidRDefault="00EA5688" w:rsidP="00EA568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0.45</w:t>
            </w:r>
            <w:r>
              <w:rPr>
                <w:rFonts w:ascii="Calibri" w:eastAsia="Times New Roman" w:hAnsi="Calibri" w:cs="Calibri"/>
              </w:rPr>
              <w:t>±</w:t>
            </w:r>
            <w:r>
              <w:rPr>
                <w:rFonts w:ascii="Calibri" w:hAnsi="Calibri" w:cs="Calibri"/>
              </w:rPr>
              <w:t>0.20</w:t>
            </w:r>
          </w:p>
        </w:tc>
        <w:tc>
          <w:tcPr>
            <w:tcW w:w="1296" w:type="dxa"/>
            <w:vAlign w:val="center"/>
          </w:tcPr>
          <w:p w14:paraId="1AB1B75C" w14:textId="183984CC" w:rsidR="00EA5688" w:rsidRPr="004E0BEE" w:rsidRDefault="00EA5688" w:rsidP="00EA568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0.86</w:t>
            </w:r>
            <w:r>
              <w:rPr>
                <w:rFonts w:ascii="Calibri" w:eastAsia="Times New Roman" w:hAnsi="Calibri" w:cs="Calibri"/>
              </w:rPr>
              <w:t>±</w:t>
            </w:r>
            <w:r>
              <w:rPr>
                <w:rFonts w:ascii="Calibri" w:hAnsi="Calibri" w:cs="Calibri"/>
              </w:rPr>
              <w:t>0.15</w:t>
            </w:r>
          </w:p>
        </w:tc>
        <w:tc>
          <w:tcPr>
            <w:tcW w:w="1296" w:type="dxa"/>
            <w:vAlign w:val="center"/>
          </w:tcPr>
          <w:p w14:paraId="2ED3FFE1" w14:textId="622B2DD2" w:rsidR="00EA5688" w:rsidRPr="004E0BEE" w:rsidRDefault="00EA5688" w:rsidP="00EA568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0.57</w:t>
            </w:r>
            <w:r>
              <w:rPr>
                <w:rFonts w:ascii="Calibri" w:eastAsia="Times New Roman" w:hAnsi="Calibri" w:cs="Calibri"/>
              </w:rPr>
              <w:t>±</w:t>
            </w:r>
            <w:r>
              <w:rPr>
                <w:rFonts w:ascii="Calibri" w:hAnsi="Calibri" w:cs="Calibri"/>
              </w:rPr>
              <w:t>0.15</w:t>
            </w:r>
          </w:p>
        </w:tc>
        <w:tc>
          <w:tcPr>
            <w:tcW w:w="1296" w:type="dxa"/>
            <w:vAlign w:val="center"/>
          </w:tcPr>
          <w:p w14:paraId="160C2675" w14:textId="1770CBE7" w:rsidR="00EA5688" w:rsidRPr="004E0BEE" w:rsidRDefault="00EA5688" w:rsidP="00EA568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0.46</w:t>
            </w:r>
            <w:r>
              <w:rPr>
                <w:rFonts w:ascii="Calibri" w:eastAsia="Times New Roman" w:hAnsi="Calibri" w:cs="Calibri"/>
              </w:rPr>
              <w:t>±</w:t>
            </w:r>
            <w:r>
              <w:rPr>
                <w:rFonts w:ascii="Calibri" w:hAnsi="Calibri" w:cs="Calibri"/>
              </w:rPr>
              <w:t>0.15</w:t>
            </w:r>
          </w:p>
        </w:tc>
        <w:tc>
          <w:tcPr>
            <w:tcW w:w="1296" w:type="dxa"/>
            <w:vAlign w:val="center"/>
          </w:tcPr>
          <w:p w14:paraId="6B2C0BD0" w14:textId="24397EEF" w:rsidR="00EA5688" w:rsidRPr="004E0BEE" w:rsidRDefault="00EA5688" w:rsidP="00EA568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0.19</w:t>
            </w:r>
            <w:r>
              <w:rPr>
                <w:rFonts w:ascii="Calibri" w:eastAsia="Times New Roman" w:hAnsi="Calibri" w:cs="Calibri"/>
              </w:rPr>
              <w:t>±</w:t>
            </w:r>
            <w:r>
              <w:rPr>
                <w:rFonts w:ascii="Calibri" w:hAnsi="Calibri" w:cs="Calibri"/>
              </w:rPr>
              <w:t>0.26</w:t>
            </w:r>
          </w:p>
        </w:tc>
        <w:tc>
          <w:tcPr>
            <w:tcW w:w="1296" w:type="dxa"/>
            <w:vAlign w:val="center"/>
          </w:tcPr>
          <w:p w14:paraId="13CE20B1" w14:textId="17379E18" w:rsidR="00EA5688" w:rsidRPr="004E0BEE" w:rsidRDefault="00EA5688" w:rsidP="00EA568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0.14</w:t>
            </w:r>
            <w:r>
              <w:rPr>
                <w:rFonts w:ascii="Calibri" w:eastAsia="Times New Roman" w:hAnsi="Calibri" w:cs="Calibri"/>
              </w:rPr>
              <w:t>±</w:t>
            </w:r>
            <w:r>
              <w:rPr>
                <w:rFonts w:ascii="Calibri" w:hAnsi="Calibri" w:cs="Calibri"/>
              </w:rPr>
              <w:t>0.13</w:t>
            </w:r>
          </w:p>
        </w:tc>
      </w:tr>
      <w:tr w:rsidR="00EA5688" w:rsidRPr="004E0BEE" w14:paraId="1312F106" w14:textId="77777777" w:rsidTr="00FA5A51">
        <w:trPr>
          <w:trHeight w:val="300"/>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64888246" w14:textId="54F534C1" w:rsidR="00EA5688" w:rsidRPr="00E71BF1" w:rsidRDefault="001E71AD" w:rsidP="00EA5688">
            <w:pPr>
              <w:rPr>
                <w:b w:val="0"/>
                <w:bCs w:val="0"/>
              </w:rPr>
            </w:pPr>
            <w:r>
              <w:rPr>
                <w:rFonts w:ascii="Calibri" w:eastAsia="Times New Roman" w:hAnsi="Calibri" w:cs="Calibri"/>
              </w:rPr>
              <w:t>April 2020</w:t>
            </w:r>
          </w:p>
        </w:tc>
        <w:tc>
          <w:tcPr>
            <w:tcW w:w="1274" w:type="dxa"/>
            <w:vAlign w:val="center"/>
          </w:tcPr>
          <w:p w14:paraId="63FAACFE" w14:textId="06514895" w:rsidR="00EA5688" w:rsidRPr="004E0BEE" w:rsidRDefault="00EA5688" w:rsidP="00EA568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0.38</w:t>
            </w:r>
            <w:r>
              <w:rPr>
                <w:rFonts w:ascii="Calibri" w:eastAsia="Times New Roman" w:hAnsi="Calibri" w:cs="Calibri"/>
              </w:rPr>
              <w:t>±</w:t>
            </w:r>
            <w:r>
              <w:rPr>
                <w:rFonts w:ascii="Calibri" w:hAnsi="Calibri" w:cs="Calibri"/>
              </w:rPr>
              <w:t>0.28</w:t>
            </w:r>
          </w:p>
        </w:tc>
        <w:tc>
          <w:tcPr>
            <w:tcW w:w="1296" w:type="dxa"/>
            <w:vAlign w:val="center"/>
          </w:tcPr>
          <w:p w14:paraId="22CB65E4" w14:textId="5B3A0F76" w:rsidR="00EA5688" w:rsidRPr="004E0BEE" w:rsidRDefault="00EA5688" w:rsidP="00EA568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0.42</w:t>
            </w:r>
            <w:r>
              <w:rPr>
                <w:rFonts w:ascii="Calibri" w:eastAsia="Times New Roman" w:hAnsi="Calibri" w:cs="Calibri"/>
              </w:rPr>
              <w:t>±</w:t>
            </w:r>
            <w:r>
              <w:rPr>
                <w:rFonts w:ascii="Calibri" w:hAnsi="Calibri" w:cs="Calibri"/>
              </w:rPr>
              <w:t>0.22</w:t>
            </w:r>
          </w:p>
        </w:tc>
        <w:tc>
          <w:tcPr>
            <w:tcW w:w="1296" w:type="dxa"/>
            <w:vAlign w:val="center"/>
          </w:tcPr>
          <w:p w14:paraId="70109898" w14:textId="2CAD99B4" w:rsidR="00EA5688" w:rsidRPr="004E0BEE" w:rsidRDefault="00EA5688" w:rsidP="00EA568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0.73</w:t>
            </w:r>
            <w:r>
              <w:rPr>
                <w:rFonts w:ascii="Calibri" w:eastAsia="Times New Roman" w:hAnsi="Calibri" w:cs="Calibri"/>
              </w:rPr>
              <w:t>±</w:t>
            </w:r>
            <w:r>
              <w:rPr>
                <w:rFonts w:ascii="Calibri" w:hAnsi="Calibri" w:cs="Calibri"/>
              </w:rPr>
              <w:t>0.14</w:t>
            </w:r>
          </w:p>
        </w:tc>
        <w:tc>
          <w:tcPr>
            <w:tcW w:w="1296" w:type="dxa"/>
            <w:vAlign w:val="center"/>
          </w:tcPr>
          <w:p w14:paraId="47BAE4F9" w14:textId="43B1D8AE" w:rsidR="00EA5688" w:rsidRPr="004E0BEE" w:rsidRDefault="00EA5688" w:rsidP="00EA568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0.54</w:t>
            </w:r>
            <w:r>
              <w:rPr>
                <w:rFonts w:ascii="Calibri" w:eastAsia="Times New Roman" w:hAnsi="Calibri" w:cs="Calibri"/>
              </w:rPr>
              <w:t>±</w:t>
            </w:r>
            <w:r>
              <w:rPr>
                <w:rFonts w:ascii="Calibri" w:hAnsi="Calibri" w:cs="Calibri"/>
              </w:rPr>
              <w:t>0.17</w:t>
            </w:r>
          </w:p>
        </w:tc>
        <w:tc>
          <w:tcPr>
            <w:tcW w:w="1296" w:type="dxa"/>
            <w:vAlign w:val="center"/>
          </w:tcPr>
          <w:p w14:paraId="67EEF1B5" w14:textId="59AC7EB4" w:rsidR="00EA5688" w:rsidRPr="004E0BEE" w:rsidRDefault="00EA5688" w:rsidP="00EA568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0.44</w:t>
            </w:r>
            <w:r>
              <w:rPr>
                <w:rFonts w:ascii="Calibri" w:eastAsia="Times New Roman" w:hAnsi="Calibri" w:cs="Calibri"/>
              </w:rPr>
              <w:t>±</w:t>
            </w:r>
            <w:r>
              <w:rPr>
                <w:rFonts w:ascii="Calibri" w:hAnsi="Calibri" w:cs="Calibri"/>
              </w:rPr>
              <w:t>0.15</w:t>
            </w:r>
          </w:p>
        </w:tc>
        <w:tc>
          <w:tcPr>
            <w:tcW w:w="1296" w:type="dxa"/>
            <w:vAlign w:val="center"/>
          </w:tcPr>
          <w:p w14:paraId="54BB9102" w14:textId="297BCE42" w:rsidR="00EA5688" w:rsidRPr="004E0BEE" w:rsidRDefault="00EA5688" w:rsidP="00EA568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0.21</w:t>
            </w:r>
            <w:r>
              <w:rPr>
                <w:rFonts w:ascii="Calibri" w:eastAsia="Times New Roman" w:hAnsi="Calibri" w:cs="Calibri"/>
              </w:rPr>
              <w:t>±</w:t>
            </w:r>
            <w:r>
              <w:rPr>
                <w:rFonts w:ascii="Calibri" w:hAnsi="Calibri" w:cs="Calibri"/>
              </w:rPr>
              <w:t>0.27</w:t>
            </w:r>
          </w:p>
        </w:tc>
        <w:tc>
          <w:tcPr>
            <w:tcW w:w="1296" w:type="dxa"/>
            <w:vAlign w:val="center"/>
          </w:tcPr>
          <w:p w14:paraId="3AB6D4EA" w14:textId="796C3CC6" w:rsidR="00EA5688" w:rsidRPr="004E0BEE" w:rsidRDefault="00EA5688" w:rsidP="00EA568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0.37</w:t>
            </w:r>
            <w:r>
              <w:rPr>
                <w:rFonts w:ascii="Calibri" w:eastAsia="Times New Roman" w:hAnsi="Calibri" w:cs="Calibri"/>
              </w:rPr>
              <w:t>±</w:t>
            </w:r>
            <w:r>
              <w:rPr>
                <w:rFonts w:ascii="Calibri" w:hAnsi="Calibri" w:cs="Calibri"/>
              </w:rPr>
              <w:t>0.12</w:t>
            </w:r>
          </w:p>
        </w:tc>
      </w:tr>
      <w:tr w:rsidR="00EA5688" w:rsidRPr="004E0BEE" w14:paraId="0326F66C" w14:textId="77777777" w:rsidTr="00FA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58B528C1" w14:textId="5DF5A11C" w:rsidR="00EA5688" w:rsidRPr="00E71BF1" w:rsidRDefault="001E71AD" w:rsidP="00EA5688">
            <w:pPr>
              <w:rPr>
                <w:b w:val="0"/>
                <w:bCs w:val="0"/>
              </w:rPr>
            </w:pPr>
            <w:r>
              <w:rPr>
                <w:rFonts w:ascii="Calibri" w:eastAsia="Times New Roman" w:hAnsi="Calibri" w:cs="Calibri"/>
              </w:rPr>
              <w:t xml:space="preserve">May </w:t>
            </w:r>
            <w:r w:rsidR="00EA5688">
              <w:rPr>
                <w:rFonts w:ascii="Calibri" w:eastAsia="Times New Roman" w:hAnsi="Calibri" w:cs="Calibri"/>
              </w:rPr>
              <w:t>2020</w:t>
            </w:r>
          </w:p>
        </w:tc>
        <w:tc>
          <w:tcPr>
            <w:tcW w:w="1274" w:type="dxa"/>
            <w:vAlign w:val="center"/>
          </w:tcPr>
          <w:p w14:paraId="38E94915" w14:textId="4F78D815" w:rsidR="00EA5688" w:rsidRPr="004E0BEE" w:rsidRDefault="00EA5688" w:rsidP="00EA568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0.18</w:t>
            </w:r>
            <w:r>
              <w:rPr>
                <w:rFonts w:ascii="Calibri" w:eastAsia="Times New Roman" w:hAnsi="Calibri" w:cs="Calibri"/>
              </w:rPr>
              <w:t>±</w:t>
            </w:r>
            <w:r>
              <w:rPr>
                <w:rFonts w:ascii="Calibri" w:hAnsi="Calibri" w:cs="Calibri"/>
              </w:rPr>
              <w:t>0.46</w:t>
            </w:r>
          </w:p>
        </w:tc>
        <w:tc>
          <w:tcPr>
            <w:tcW w:w="1296" w:type="dxa"/>
            <w:vAlign w:val="center"/>
          </w:tcPr>
          <w:p w14:paraId="68A583B7" w14:textId="179D4BB0" w:rsidR="00EA5688" w:rsidRPr="004E0BEE" w:rsidRDefault="00EA5688" w:rsidP="00EA568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0.28</w:t>
            </w:r>
            <w:r>
              <w:rPr>
                <w:rFonts w:ascii="Calibri" w:eastAsia="Times New Roman" w:hAnsi="Calibri" w:cs="Calibri"/>
              </w:rPr>
              <w:t>±</w:t>
            </w:r>
            <w:r>
              <w:rPr>
                <w:rFonts w:ascii="Calibri" w:hAnsi="Calibri" w:cs="Calibri"/>
              </w:rPr>
              <w:t>0.29</w:t>
            </w:r>
          </w:p>
        </w:tc>
        <w:tc>
          <w:tcPr>
            <w:tcW w:w="1296" w:type="dxa"/>
            <w:vAlign w:val="center"/>
          </w:tcPr>
          <w:p w14:paraId="30BB028F" w14:textId="666C8DC1" w:rsidR="00EA5688" w:rsidRPr="004E0BEE" w:rsidRDefault="00EA5688" w:rsidP="00EA568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0.60</w:t>
            </w:r>
            <w:r>
              <w:rPr>
                <w:rFonts w:ascii="Calibri" w:eastAsia="Times New Roman" w:hAnsi="Calibri" w:cs="Calibri"/>
              </w:rPr>
              <w:t>±</w:t>
            </w:r>
            <w:r>
              <w:rPr>
                <w:rFonts w:ascii="Calibri" w:hAnsi="Calibri" w:cs="Calibri"/>
              </w:rPr>
              <w:t>0.17</w:t>
            </w:r>
          </w:p>
        </w:tc>
        <w:tc>
          <w:tcPr>
            <w:tcW w:w="1296" w:type="dxa"/>
            <w:vAlign w:val="center"/>
          </w:tcPr>
          <w:p w14:paraId="115E0430" w14:textId="70EC716B" w:rsidR="00EA5688" w:rsidRPr="004E0BEE" w:rsidRDefault="00EA5688" w:rsidP="00EA568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0.41</w:t>
            </w:r>
            <w:r>
              <w:rPr>
                <w:rFonts w:ascii="Calibri" w:eastAsia="Times New Roman" w:hAnsi="Calibri" w:cs="Calibri"/>
              </w:rPr>
              <w:t>±</w:t>
            </w:r>
            <w:r>
              <w:rPr>
                <w:rFonts w:ascii="Calibri" w:hAnsi="Calibri" w:cs="Calibri"/>
              </w:rPr>
              <w:t>0.22</w:t>
            </w:r>
          </w:p>
        </w:tc>
        <w:tc>
          <w:tcPr>
            <w:tcW w:w="1296" w:type="dxa"/>
            <w:vAlign w:val="center"/>
          </w:tcPr>
          <w:p w14:paraId="5ED36FEA" w14:textId="4BE12A33" w:rsidR="00EA5688" w:rsidRPr="004E0BEE" w:rsidRDefault="00EA5688" w:rsidP="00EA568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0.45</w:t>
            </w:r>
            <w:r>
              <w:rPr>
                <w:rFonts w:ascii="Calibri" w:eastAsia="Times New Roman" w:hAnsi="Calibri" w:cs="Calibri"/>
              </w:rPr>
              <w:t>±</w:t>
            </w:r>
            <w:r>
              <w:rPr>
                <w:rFonts w:ascii="Calibri" w:hAnsi="Calibri" w:cs="Calibri"/>
              </w:rPr>
              <w:t>0.25</w:t>
            </w:r>
          </w:p>
        </w:tc>
        <w:tc>
          <w:tcPr>
            <w:tcW w:w="1296" w:type="dxa"/>
            <w:vAlign w:val="center"/>
          </w:tcPr>
          <w:p w14:paraId="707952F9" w14:textId="24B0296E" w:rsidR="00EA5688" w:rsidRPr="004E0BEE" w:rsidRDefault="00EA5688" w:rsidP="00EA568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0.22</w:t>
            </w:r>
            <w:r>
              <w:rPr>
                <w:rFonts w:ascii="Calibri" w:eastAsia="Times New Roman" w:hAnsi="Calibri" w:cs="Calibri"/>
              </w:rPr>
              <w:t>±</w:t>
            </w:r>
            <w:r>
              <w:rPr>
                <w:rFonts w:ascii="Calibri" w:hAnsi="Calibri" w:cs="Calibri"/>
              </w:rPr>
              <w:t>0.28</w:t>
            </w:r>
          </w:p>
        </w:tc>
        <w:tc>
          <w:tcPr>
            <w:tcW w:w="1296" w:type="dxa"/>
            <w:vAlign w:val="center"/>
          </w:tcPr>
          <w:p w14:paraId="79711B08" w14:textId="418E0D16" w:rsidR="00EA5688" w:rsidRPr="004E0BEE" w:rsidRDefault="00EA5688" w:rsidP="00EA568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0.33</w:t>
            </w:r>
            <w:r>
              <w:rPr>
                <w:rFonts w:ascii="Calibri" w:eastAsia="Times New Roman" w:hAnsi="Calibri" w:cs="Calibri"/>
              </w:rPr>
              <w:t>±</w:t>
            </w:r>
            <w:r>
              <w:rPr>
                <w:rFonts w:ascii="Calibri" w:hAnsi="Calibri" w:cs="Calibri"/>
              </w:rPr>
              <w:t>0.10</w:t>
            </w:r>
          </w:p>
        </w:tc>
      </w:tr>
      <w:tr w:rsidR="00EA5688" w:rsidRPr="004E0BEE" w14:paraId="335F45CE" w14:textId="77777777" w:rsidTr="00FA5A51">
        <w:tc>
          <w:tcPr>
            <w:cnfStyle w:val="001000000000" w:firstRow="0" w:lastRow="0" w:firstColumn="1" w:lastColumn="0" w:oddVBand="0" w:evenVBand="0" w:oddHBand="0" w:evenHBand="0" w:firstRowFirstColumn="0" w:firstRowLastColumn="0" w:lastRowFirstColumn="0" w:lastRowLastColumn="0"/>
            <w:tcW w:w="1548" w:type="dxa"/>
            <w:vAlign w:val="center"/>
          </w:tcPr>
          <w:p w14:paraId="08C85219" w14:textId="33329693" w:rsidR="00EA5688" w:rsidRPr="00E71BF1" w:rsidRDefault="001E71AD" w:rsidP="00EA5688">
            <w:pPr>
              <w:jc w:val="left"/>
              <w:rPr>
                <w:b w:val="0"/>
                <w:bCs w:val="0"/>
              </w:rPr>
            </w:pPr>
            <w:r>
              <w:rPr>
                <w:rFonts w:ascii="Calibri" w:eastAsia="Times New Roman" w:hAnsi="Calibri" w:cs="Calibri"/>
              </w:rPr>
              <w:t xml:space="preserve">March-April-May </w:t>
            </w:r>
            <w:r w:rsidR="00EA5688">
              <w:rPr>
                <w:rFonts w:ascii="Calibri" w:eastAsia="Times New Roman" w:hAnsi="Calibri" w:cs="Calibri"/>
              </w:rPr>
              <w:t>2020</w:t>
            </w:r>
          </w:p>
        </w:tc>
        <w:tc>
          <w:tcPr>
            <w:tcW w:w="1274" w:type="dxa"/>
            <w:vAlign w:val="center"/>
          </w:tcPr>
          <w:p w14:paraId="080239CB" w14:textId="61027F0A" w:rsidR="00EA5688" w:rsidRPr="004E0BEE" w:rsidRDefault="00EA5688" w:rsidP="00EA568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0.34</w:t>
            </w:r>
            <w:r>
              <w:rPr>
                <w:rFonts w:ascii="Calibri" w:eastAsia="Times New Roman" w:hAnsi="Calibri" w:cs="Calibri"/>
              </w:rPr>
              <w:t>±</w:t>
            </w:r>
            <w:r>
              <w:rPr>
                <w:rFonts w:ascii="Calibri" w:hAnsi="Calibri" w:cs="Calibri"/>
              </w:rPr>
              <w:t>0.36</w:t>
            </w:r>
          </w:p>
        </w:tc>
        <w:tc>
          <w:tcPr>
            <w:tcW w:w="1296" w:type="dxa"/>
            <w:vAlign w:val="center"/>
          </w:tcPr>
          <w:p w14:paraId="586FC766" w14:textId="580CBF82" w:rsidR="00EA5688" w:rsidRPr="004E0BEE" w:rsidRDefault="00EA5688" w:rsidP="00EA568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0.38</w:t>
            </w:r>
            <w:r>
              <w:rPr>
                <w:rFonts w:ascii="Calibri" w:eastAsia="Times New Roman" w:hAnsi="Calibri" w:cs="Calibri"/>
              </w:rPr>
              <w:t>±</w:t>
            </w:r>
            <w:r>
              <w:rPr>
                <w:rFonts w:ascii="Calibri" w:hAnsi="Calibri" w:cs="Calibri"/>
              </w:rPr>
              <w:t>0.24</w:t>
            </w:r>
          </w:p>
        </w:tc>
        <w:tc>
          <w:tcPr>
            <w:tcW w:w="1296" w:type="dxa"/>
            <w:vAlign w:val="center"/>
          </w:tcPr>
          <w:p w14:paraId="53417A82" w14:textId="51C40F91" w:rsidR="00EA5688" w:rsidRPr="004E0BEE" w:rsidRDefault="00EA5688" w:rsidP="00EA568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0.73</w:t>
            </w:r>
            <w:r>
              <w:rPr>
                <w:rFonts w:ascii="Calibri" w:eastAsia="Times New Roman" w:hAnsi="Calibri" w:cs="Calibri"/>
              </w:rPr>
              <w:t>±</w:t>
            </w:r>
            <w:r>
              <w:rPr>
                <w:rFonts w:ascii="Calibri" w:hAnsi="Calibri" w:cs="Calibri"/>
              </w:rPr>
              <w:t>0.18</w:t>
            </w:r>
          </w:p>
        </w:tc>
        <w:tc>
          <w:tcPr>
            <w:tcW w:w="1296" w:type="dxa"/>
            <w:vAlign w:val="center"/>
          </w:tcPr>
          <w:p w14:paraId="1205BA1A" w14:textId="3CCA97B1" w:rsidR="00EA5688" w:rsidRPr="004E0BEE" w:rsidRDefault="00EA5688" w:rsidP="00EA568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0.51</w:t>
            </w:r>
            <w:r>
              <w:rPr>
                <w:rFonts w:ascii="Calibri" w:eastAsia="Times New Roman" w:hAnsi="Calibri" w:cs="Calibri"/>
              </w:rPr>
              <w:t>±</w:t>
            </w:r>
            <w:r>
              <w:rPr>
                <w:rFonts w:ascii="Calibri" w:hAnsi="Calibri" w:cs="Calibri"/>
              </w:rPr>
              <w:t>0.19</w:t>
            </w:r>
          </w:p>
        </w:tc>
        <w:tc>
          <w:tcPr>
            <w:tcW w:w="1296" w:type="dxa"/>
            <w:vAlign w:val="center"/>
          </w:tcPr>
          <w:p w14:paraId="00C12801" w14:textId="4795D574" w:rsidR="00EA5688" w:rsidRDefault="00EA5688" w:rsidP="00EA568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0.45</w:t>
            </w:r>
            <w:r>
              <w:rPr>
                <w:rFonts w:ascii="Calibri" w:eastAsia="Times New Roman" w:hAnsi="Calibri" w:cs="Calibri"/>
              </w:rPr>
              <w:t>±</w:t>
            </w:r>
            <w:r>
              <w:rPr>
                <w:rFonts w:ascii="Calibri" w:hAnsi="Calibri" w:cs="Calibri"/>
              </w:rPr>
              <w:t>0.18</w:t>
            </w:r>
          </w:p>
        </w:tc>
        <w:tc>
          <w:tcPr>
            <w:tcW w:w="1296" w:type="dxa"/>
            <w:vAlign w:val="center"/>
          </w:tcPr>
          <w:p w14:paraId="0D285674" w14:textId="326FFCDA" w:rsidR="00EA5688" w:rsidRPr="004E0BEE" w:rsidRDefault="00EA5688" w:rsidP="00EA568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0.20</w:t>
            </w:r>
            <w:r>
              <w:rPr>
                <w:rFonts w:ascii="Calibri" w:eastAsia="Times New Roman" w:hAnsi="Calibri" w:cs="Calibri"/>
              </w:rPr>
              <w:t>±</w:t>
            </w:r>
            <w:r>
              <w:rPr>
                <w:rFonts w:ascii="Calibri" w:hAnsi="Calibri" w:cs="Calibri"/>
              </w:rPr>
              <w:t>0.26</w:t>
            </w:r>
          </w:p>
        </w:tc>
        <w:tc>
          <w:tcPr>
            <w:tcW w:w="1296" w:type="dxa"/>
            <w:vAlign w:val="center"/>
          </w:tcPr>
          <w:p w14:paraId="5F895A6F" w14:textId="07B0138C" w:rsidR="00EA5688" w:rsidRPr="004E0BEE" w:rsidRDefault="00EA5688" w:rsidP="00EA568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0.37</w:t>
            </w:r>
            <w:r>
              <w:rPr>
                <w:rFonts w:ascii="Calibri" w:eastAsia="Times New Roman" w:hAnsi="Calibri" w:cs="Calibri"/>
              </w:rPr>
              <w:t>±</w:t>
            </w:r>
            <w:r>
              <w:rPr>
                <w:rFonts w:ascii="Calibri" w:hAnsi="Calibri" w:cs="Calibri"/>
              </w:rPr>
              <w:t>0.12</w:t>
            </w:r>
          </w:p>
        </w:tc>
      </w:tr>
    </w:tbl>
    <w:p w14:paraId="6652C9AB" w14:textId="6905BA2A" w:rsidR="00216EA7" w:rsidRDefault="00216EA7" w:rsidP="00E71BF1">
      <w:pPr>
        <w:jc w:val="center"/>
        <w:rPr>
          <w:sz w:val="16"/>
          <w:szCs w:val="16"/>
        </w:rPr>
      </w:pPr>
    </w:p>
    <w:p w14:paraId="1BC3BE4B" w14:textId="77777777" w:rsidR="00620CB9" w:rsidRDefault="00620CB9" w:rsidP="00E71BF1">
      <w:pPr>
        <w:jc w:val="center"/>
        <w:rPr>
          <w:sz w:val="16"/>
          <w:szCs w:val="16"/>
        </w:rPr>
      </w:pPr>
    </w:p>
    <w:p w14:paraId="1E57C912" w14:textId="58F8E6A0" w:rsidR="009B16FB" w:rsidRPr="0057036B" w:rsidRDefault="009B16FB" w:rsidP="00E1249C">
      <w:pPr>
        <w:jc w:val="center"/>
      </w:pPr>
      <w:r w:rsidRPr="00E71BF1">
        <w:rPr>
          <w:sz w:val="16"/>
          <w:szCs w:val="16"/>
        </w:rPr>
        <w:t>Table 2</w:t>
      </w:r>
      <w:r w:rsidR="00410425" w:rsidRPr="00410425">
        <w:rPr>
          <w:rFonts w:hint="eastAsia"/>
          <w:sz w:val="16"/>
          <w:szCs w:val="16"/>
        </w:rPr>
        <w:t xml:space="preserve">: </w:t>
      </w:r>
      <w:r w:rsidR="00E1249C" w:rsidRPr="00E1249C">
        <w:rPr>
          <w:rFonts w:hint="eastAsia"/>
          <w:sz w:val="16"/>
          <w:szCs w:val="16"/>
        </w:rPr>
        <w:t>Multi-model forecasts for oceanic indices (</w:t>
      </w:r>
      <w:r w:rsidR="00E1249C" w:rsidRPr="00E1249C">
        <w:rPr>
          <w:rFonts w:hint="eastAsia"/>
          <w:sz w:val="16"/>
          <w:szCs w:val="16"/>
        </w:rPr>
        <w:t>℃</w:t>
      </w:r>
      <w:r w:rsidR="00E1249C" w:rsidRPr="00E1249C">
        <w:rPr>
          <w:rFonts w:hint="eastAsia"/>
          <w:sz w:val="16"/>
          <w:szCs w:val="16"/>
        </w:rPr>
        <w:t>), with standard deviation. Values are the equal-member-weighting average of those derived, using each GPC models own hindcast climate mean, from the GPCs supplying SST forecasts (GPC CPTEC, ECMWF, Exeter, Melbou</w:t>
      </w:r>
      <w:r w:rsidR="00E1249C" w:rsidRPr="00E1249C">
        <w:rPr>
          <w:sz w:val="16"/>
          <w:szCs w:val="16"/>
        </w:rPr>
        <w:t>rne, Montreal, Moscow, Offenbach, Seoul, Tokyo, Toulouse, Washington). The standard deviation is calculated on all ensemble members. The latitude/longitude bounds of the regions are given in the supplementary information section.</w:t>
      </w:r>
    </w:p>
    <w:p w14:paraId="54C76B58" w14:textId="47BA9E72" w:rsidR="009B16FB" w:rsidRDefault="00197252" w:rsidP="00E811A4">
      <w:r w:rsidRPr="00197252">
        <w:t xml:space="preserve">Observed sea surface temperatures in the central topical Pacific were </w:t>
      </w:r>
      <w:r w:rsidR="00FF3832">
        <w:t xml:space="preserve">in </w:t>
      </w:r>
      <w:r w:rsidR="00623BFD">
        <w:t>warm-</w:t>
      </w:r>
      <w:r w:rsidR="008C5C37">
        <w:t>neutral ENSO conditions</w:t>
      </w:r>
      <w:r w:rsidRPr="00197252">
        <w:t xml:space="preserve"> during </w:t>
      </w:r>
      <w:r w:rsidR="00FF3832">
        <w:t>November 2019 -January 2020</w:t>
      </w:r>
      <w:r w:rsidRPr="00197252">
        <w:t>. The sea surface temperatures in the Niño 3.4 and Niño 3 regions, both of which are often used to characterize ENSO conditions, are predicted to maintain neutral levels with anomaly values of approximately 0.</w:t>
      </w:r>
      <w:r w:rsidR="008C5C37">
        <w:t>5</w:t>
      </w:r>
      <w:r w:rsidRPr="00197252">
        <w:t xml:space="preserve"> to 0.</w:t>
      </w:r>
      <w:r w:rsidR="00E62619">
        <w:t>4</w:t>
      </w:r>
      <w:r w:rsidRPr="00197252">
        <w:t xml:space="preserve"> </w:t>
      </w:r>
      <w:r w:rsidR="00417BB8" w:rsidRPr="004066A9">
        <w:rPr>
          <w:vertAlign w:val="superscript"/>
        </w:rPr>
        <w:t>o</w:t>
      </w:r>
      <w:r w:rsidRPr="00197252">
        <w:t xml:space="preserve">C during the </w:t>
      </w:r>
      <w:r w:rsidR="008C5C37">
        <w:t>March-May 2020</w:t>
      </w:r>
      <w:r w:rsidRPr="00197252">
        <w:t xml:space="preserve"> season. Farther west in the Niño 4 region, the sea surface temperature is predicted to remain </w:t>
      </w:r>
      <w:r w:rsidR="00E1233C">
        <w:t>somewhat more</w:t>
      </w:r>
      <w:r w:rsidRPr="00197252">
        <w:t xml:space="preserve"> above-average with a value of approximately 0.</w:t>
      </w:r>
      <w:r w:rsidR="008C5C37">
        <w:t>7</w:t>
      </w:r>
      <w:r w:rsidRPr="00197252">
        <w:t xml:space="preserve"> </w:t>
      </w:r>
      <w:r w:rsidR="00417BB8" w:rsidRPr="004066A9">
        <w:rPr>
          <w:vertAlign w:val="superscript"/>
        </w:rPr>
        <w:t>o</w:t>
      </w:r>
      <w:r w:rsidRPr="00197252">
        <w:t xml:space="preserve">C. The IOD prediction is for above-average values, </w:t>
      </w:r>
      <w:r w:rsidR="00E1233C">
        <w:t>and</w:t>
      </w:r>
      <w:r w:rsidRPr="00197252">
        <w:t xml:space="preserve"> </w:t>
      </w:r>
      <w:r w:rsidR="008C5C37">
        <w:t>the March-May 2020 average i</w:t>
      </w:r>
      <w:r w:rsidR="00E62619">
        <w:t>s</w:t>
      </w:r>
      <w:r w:rsidR="008C5C37">
        <w:t xml:space="preserve"> predicted to be above the value observed in January 2020.</w:t>
      </w:r>
      <w:r w:rsidRPr="00197252">
        <w:t>. The northern equatorial Atlantic SST (NTA) is predicted to be near-average to slightly above average during the season, and the southern equatorial Atlantic SST (STA) is predicted to be somewhat above average.</w:t>
      </w:r>
    </w:p>
    <w:p w14:paraId="04075855" w14:textId="77777777" w:rsidR="00623BFD" w:rsidRPr="0057036B" w:rsidRDefault="00623BFD" w:rsidP="00E811A4"/>
    <w:p w14:paraId="016DF8FF" w14:textId="77777777" w:rsidR="009B16FB" w:rsidRPr="0057036B" w:rsidRDefault="009B16FB" w:rsidP="00E811A4">
      <w:pPr>
        <w:pStyle w:val="Heading2"/>
        <w:rPr>
          <w:rFonts w:ascii="Calibri" w:eastAsia="Calibri" w:hAnsi="Calibri" w:cs="Calibri"/>
          <w:color w:val="000000"/>
          <w:sz w:val="20"/>
          <w:szCs w:val="20"/>
        </w:rPr>
      </w:pPr>
      <w:r w:rsidRPr="0057036B">
        <w:br w:type="page"/>
      </w:r>
    </w:p>
    <w:p w14:paraId="72F602EF" w14:textId="5D5D522E" w:rsidR="009B16FB" w:rsidRPr="0057036B" w:rsidRDefault="008434A4" w:rsidP="00E71BF1">
      <w:pPr>
        <w:pStyle w:val="Heading2"/>
      </w:pPr>
      <w:r>
        <w:lastRenderedPageBreak/>
        <w:t>2.2</w:t>
      </w:r>
      <w:r>
        <w:tab/>
        <w:t>Predict</w:t>
      </w:r>
      <w:r w:rsidR="00EC6319">
        <w:t xml:space="preserve">ed temperature, </w:t>
      </w:r>
      <w:r w:rsidR="001C289F">
        <w:t>March-April-May</w:t>
      </w:r>
      <w:r w:rsidR="00197252" w:rsidRPr="00197252">
        <w:t xml:space="preserve"> 2020</w:t>
      </w:r>
    </w:p>
    <w:p w14:paraId="62DB82C9" w14:textId="2FE1C87D" w:rsidR="009B16FB" w:rsidRPr="0057036B" w:rsidRDefault="009B16FB" w:rsidP="00E71BF1">
      <w:r w:rsidRPr="0057036B">
        <w:t>For information on the construction of the multi-model forecast maps refer to the supplementary information section. (Note: Maps indicating forecast consistency among GPC models are available in the supplementary information</w:t>
      </w:r>
      <w:r w:rsidR="00026C26">
        <w:rPr>
          <w:rStyle w:val="FootnoteReference"/>
        </w:rPr>
        <w:footnoteReference w:id="1"/>
      </w:r>
      <w:r w:rsidRPr="0057036B">
        <w:t>).</w:t>
      </w:r>
    </w:p>
    <w:p w14:paraId="1A35370F" w14:textId="780BFCA3" w:rsidR="009B16FB" w:rsidRPr="0057036B" w:rsidRDefault="008D01C1" w:rsidP="00E71BF1">
      <w:pPr>
        <w:jc w:val="center"/>
      </w:pPr>
      <w:r>
        <w:rPr>
          <w:noProof/>
          <w:lang w:val="en-US" w:eastAsia="en-US"/>
        </w:rPr>
        <w:drawing>
          <wp:inline distT="0" distB="0" distL="0" distR="0" wp14:anchorId="7EE7F631" wp14:editId="23DCB51B">
            <wp:extent cx="4324350" cy="3295650"/>
            <wp:effectExtent l="0" t="0" r="0" b="0"/>
            <wp:docPr id="17" name="그림 4" descr="http://10.200.111.67/GSCU_report/DATA/PNGD/202002/MME/PMME/PMME_CB_202002_202003_202005_MAM_TMP2m_Global.png"/>
            <wp:cNvGraphicFramePr/>
            <a:graphic xmlns:a="http://schemas.openxmlformats.org/drawingml/2006/main">
              <a:graphicData uri="http://schemas.openxmlformats.org/drawingml/2006/picture">
                <pic:pic xmlns:pic="http://schemas.openxmlformats.org/drawingml/2006/picture">
                  <pic:nvPicPr>
                    <pic:cNvPr id="4" name="그림 4" descr="http://10.200.111.67/GSCU_report/DATA/PNGD/202002/MME/PMME/PMME_CB_202002_202003_202005_MAM_TMP2m_Global.pn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0" cy="3295650"/>
                    </a:xfrm>
                    <a:prstGeom prst="rect">
                      <a:avLst/>
                    </a:prstGeom>
                    <a:noFill/>
                    <a:ln>
                      <a:noFill/>
                    </a:ln>
                  </pic:spPr>
                </pic:pic>
              </a:graphicData>
            </a:graphic>
          </wp:inline>
        </w:drawing>
      </w:r>
    </w:p>
    <w:p w14:paraId="21AF7420" w14:textId="77777777" w:rsidR="00026C26" w:rsidRDefault="00026C26" w:rsidP="00982073">
      <w:pPr>
        <w:jc w:val="center"/>
        <w:rPr>
          <w:sz w:val="16"/>
          <w:szCs w:val="16"/>
        </w:rPr>
      </w:pPr>
    </w:p>
    <w:p w14:paraId="0DB1117D" w14:textId="4B3A0AA2" w:rsidR="009B16FB" w:rsidRDefault="009B16FB" w:rsidP="00982073">
      <w:pPr>
        <w:jc w:val="center"/>
      </w:pPr>
      <w:r w:rsidRPr="00E71BF1">
        <w:rPr>
          <w:sz w:val="16"/>
          <w:szCs w:val="16"/>
        </w:rPr>
        <w:t>Figure 4</w:t>
      </w:r>
      <w:r w:rsidR="00E71BF1">
        <w:rPr>
          <w:sz w:val="16"/>
          <w:szCs w:val="16"/>
        </w:rPr>
        <w:t>.</w:t>
      </w:r>
      <w:r w:rsidRPr="00E71BF1">
        <w:rPr>
          <w:sz w:val="16"/>
          <w:szCs w:val="16"/>
        </w:rPr>
        <w:t xml:space="preserve"> Probabilistic forecasts of s</w:t>
      </w:r>
      <w:r w:rsidR="00410425">
        <w:rPr>
          <w:sz w:val="16"/>
          <w:szCs w:val="16"/>
        </w:rPr>
        <w:t xml:space="preserve">urface air temperature for </w:t>
      </w:r>
      <w:r w:rsidR="00197252">
        <w:rPr>
          <w:sz w:val="16"/>
          <w:szCs w:val="16"/>
        </w:rPr>
        <w:t xml:space="preserve">December </w:t>
      </w:r>
      <w:r w:rsidRPr="00E71BF1">
        <w:rPr>
          <w:sz w:val="16"/>
          <w:szCs w:val="16"/>
        </w:rPr>
        <w:t>2019</w:t>
      </w:r>
      <w:r w:rsidR="00197252">
        <w:rPr>
          <w:sz w:val="16"/>
          <w:szCs w:val="16"/>
        </w:rPr>
        <w:t>-January-Februaey 2020</w:t>
      </w:r>
      <w:r w:rsidRPr="00E71BF1">
        <w:rPr>
          <w:sz w:val="16"/>
          <w:szCs w:val="16"/>
        </w:rPr>
        <w:t>.  The tercile category with the highest forecast probability is indicated by shaded areas. The most likely category for below-normal, above-normal and near-normal is depicted in blue, red and grey shadings respectively. White areas indicate equal chances for all categories in both cases.  The baseline period is 1993</w:t>
      </w:r>
      <w:r w:rsidR="00E71BF1">
        <w:rPr>
          <w:sz w:val="16"/>
          <w:szCs w:val="16"/>
        </w:rPr>
        <w:t>–</w:t>
      </w:r>
      <w:r w:rsidRPr="00E71BF1">
        <w:rPr>
          <w:sz w:val="16"/>
          <w:szCs w:val="16"/>
        </w:rPr>
        <w:t>2009.</w:t>
      </w:r>
      <w:r w:rsidR="001967D3">
        <w:rPr>
          <w:sz w:val="16"/>
          <w:szCs w:val="16"/>
        </w:rPr>
        <w:t xml:space="preserve"> Figure is generated by </w:t>
      </w:r>
      <w:r w:rsidR="001967D3" w:rsidRPr="001967D3">
        <w:rPr>
          <w:rFonts w:hint="eastAsia"/>
          <w:sz w:val="16"/>
          <w:szCs w:val="16"/>
        </w:rPr>
        <w:t>The WMO Lead Centre for Long-Range Forecast Multi-Model Ensemble</w:t>
      </w:r>
      <w:r w:rsidR="001967D3">
        <w:rPr>
          <w:sz w:val="16"/>
          <w:szCs w:val="16"/>
        </w:rPr>
        <w:t>.</w:t>
      </w:r>
      <w:r w:rsidRPr="00E71BF1">
        <w:rPr>
          <w:sz w:val="16"/>
          <w:szCs w:val="16"/>
        </w:rPr>
        <w:br/>
      </w:r>
    </w:p>
    <w:p w14:paraId="13B4308F" w14:textId="310FB45F" w:rsidR="00197252" w:rsidRDefault="00197252" w:rsidP="00197252">
      <w:r>
        <w:t xml:space="preserve">Influences from the expected tendency towards positive sea surface temperature anomalies are seen in the temperature forecast for </w:t>
      </w:r>
      <w:r w:rsidR="00D818A7">
        <w:t>March-May 2020</w:t>
      </w:r>
      <w:r>
        <w:t xml:space="preserve"> across sizeable portions of the globe, both in the tropics (except for near-average to slightly below-average conditions in the </w:t>
      </w:r>
      <w:r w:rsidR="00D818A7">
        <w:t>south</w:t>
      </w:r>
      <w:r w:rsidR="00DD79CA">
        <w:t>-</w:t>
      </w:r>
      <w:r>
        <w:t xml:space="preserve">east Pacific) and extra-tropics. </w:t>
      </w:r>
      <w:r w:rsidR="00D818A7">
        <w:t>The prediction of b</w:t>
      </w:r>
      <w:r>
        <w:t xml:space="preserve">elow-average temperature is </w:t>
      </w:r>
      <w:r w:rsidR="00DD79CA">
        <w:t xml:space="preserve">generally </w:t>
      </w:r>
      <w:r w:rsidR="00D818A7">
        <w:t xml:space="preserve">absent over </w:t>
      </w:r>
      <w:r>
        <w:t>land areas</w:t>
      </w:r>
      <w:r w:rsidR="000558B3">
        <w:t>, as</w:t>
      </w:r>
      <w:r w:rsidR="00D818A7">
        <w:t xml:space="preserve"> prediction for above-normal temperature dominates</w:t>
      </w:r>
      <w:r>
        <w:t xml:space="preserve">. </w:t>
      </w:r>
      <w:r w:rsidR="00D818A7">
        <w:t>Above</w:t>
      </w:r>
      <w:r>
        <w:t xml:space="preserve">-average sea surface conditions are predicted </w:t>
      </w:r>
      <w:r w:rsidR="00D818A7">
        <w:t xml:space="preserve">throughout equatorial Pacific, more so in western and central </w:t>
      </w:r>
      <w:r>
        <w:t>Pacific</w:t>
      </w:r>
      <w:r w:rsidR="00D818A7">
        <w:t>;</w:t>
      </w:r>
      <w:r>
        <w:t xml:space="preserve"> this condition may still noticeably affect the overlying atmospheric circulation and climate, as </w:t>
      </w:r>
      <w:r w:rsidR="00D818A7">
        <w:t xml:space="preserve">it will </w:t>
      </w:r>
      <w:r>
        <w:t>enhance the SST gradients the with positive SST anomalies in the western Pacific. A global warming trend also contributes to the sea surface temperature and air temperature forecast, leading to a general prevalence towards a positive tilt in anomalies defined using the climatological base period (1993–2009) centred more than 10 years in the past.</w:t>
      </w:r>
    </w:p>
    <w:p w14:paraId="5E57A039" w14:textId="59641662" w:rsidR="00197252" w:rsidRDefault="00197252" w:rsidP="00197252">
      <w:r>
        <w:t xml:space="preserve">RA I (Africa): An enhanced probability for above-normal temperature is predicted over </w:t>
      </w:r>
      <w:r w:rsidR="001E56DC">
        <w:t xml:space="preserve">virtually all </w:t>
      </w:r>
      <w:r>
        <w:t xml:space="preserve">of Africa, with strong model-to-model consistency. Weaker tilts of the odds towards above-normal are predicted for some portions of the northern </w:t>
      </w:r>
      <w:r w:rsidR="005F6DF1">
        <w:t>regions</w:t>
      </w:r>
      <w:r>
        <w:t xml:space="preserve"> of the continent</w:t>
      </w:r>
      <w:r w:rsidR="005F6DF1">
        <w:t xml:space="preserve">. Weak tilts of the odds towards above-normal are also predicted over the </w:t>
      </w:r>
      <w:r w:rsidR="0084042C">
        <w:t xml:space="preserve">most of the </w:t>
      </w:r>
      <w:r w:rsidR="005F6DF1">
        <w:t>southern region of Africa</w:t>
      </w:r>
      <w:r>
        <w:t xml:space="preserve">. </w:t>
      </w:r>
      <w:r w:rsidR="005F6DF1">
        <w:t xml:space="preserve">The strongest tilts </w:t>
      </w:r>
      <w:r w:rsidR="00DD79CA">
        <w:t xml:space="preserve">of </w:t>
      </w:r>
      <w:r w:rsidR="005F6DF1">
        <w:t>odds for above-normal are predicted over the western equatorial South Africa and over the Greater Horn</w:t>
      </w:r>
      <w:r w:rsidR="0084042C">
        <w:t xml:space="preserve">, </w:t>
      </w:r>
      <w:r w:rsidR="005F6DF1">
        <w:t>with strong model consistency</w:t>
      </w:r>
      <w:r>
        <w:t xml:space="preserve">. It is noted that above-normal temperature in most of locations would imply a continuation of the above-normal temperatures observed </w:t>
      </w:r>
      <w:r w:rsidR="005F6DF1">
        <w:t>over most</w:t>
      </w:r>
      <w:r>
        <w:t xml:space="preserve"> of Africa during </w:t>
      </w:r>
      <w:r w:rsidR="005F6DF1">
        <w:t>November 2019-January 2020</w:t>
      </w:r>
      <w:r>
        <w:t xml:space="preserve">. </w:t>
      </w:r>
    </w:p>
    <w:p w14:paraId="5FF99B72" w14:textId="1C16DB96" w:rsidR="00197252" w:rsidRDefault="00197252" w:rsidP="00197252">
      <w:r>
        <w:lastRenderedPageBreak/>
        <w:t>RA II (Asia): Weakly to moderately enhanced probabilities for above-normal temperature are predicted over most of central Asia and all of northern Asia, while more strongly enhanced chances for above-normal are predicted for part of eastern maritime Asia and part of southeast Asia</w:t>
      </w:r>
      <w:r w:rsidR="00DE46D1">
        <w:t xml:space="preserve"> extending northward along the coastal regions</w:t>
      </w:r>
      <w:r>
        <w:t>. Model consistency for most of these regions is moderately strong. A</w:t>
      </w:r>
      <w:r w:rsidR="00DE46D1">
        <w:t xml:space="preserve"> weak </w:t>
      </w:r>
      <w:r>
        <w:t xml:space="preserve">enhanced probability for below-normal temperature is predicted for </w:t>
      </w:r>
      <w:r w:rsidR="0046427C">
        <w:t xml:space="preserve">the </w:t>
      </w:r>
      <w:r w:rsidR="00DE46D1">
        <w:t>mountainous regions of the Indian subcontinent</w:t>
      </w:r>
      <w:r>
        <w:t xml:space="preserve">, with weak to moderate model consistency. Much of the area forecast to be above-normal would experience a continuation of the above-normal conditions observed during </w:t>
      </w:r>
      <w:r w:rsidR="00DE46D1">
        <w:t>November 2019-January 2020</w:t>
      </w:r>
      <w:r>
        <w:t xml:space="preserve">.  </w:t>
      </w:r>
    </w:p>
    <w:p w14:paraId="2F3E8540" w14:textId="5D23D463" w:rsidR="00197252" w:rsidRDefault="00197252" w:rsidP="00197252">
      <w:r>
        <w:t xml:space="preserve">RA III (South America): Enhanced probabilities for above-normal temperature are predicted for much of the </w:t>
      </w:r>
      <w:r w:rsidR="00DE46D1">
        <w:t xml:space="preserve">equatorial </w:t>
      </w:r>
      <w:r>
        <w:t xml:space="preserve">tropical </w:t>
      </w:r>
      <w:r w:rsidR="006C3606">
        <w:t>regions</w:t>
      </w:r>
      <w:r>
        <w:t xml:space="preserve"> and the northwest </w:t>
      </w:r>
      <w:r w:rsidR="00464210">
        <w:t xml:space="preserve">portion </w:t>
      </w:r>
      <w:r>
        <w:t xml:space="preserve">of the continent, both regions having moderate to strong model consistency. </w:t>
      </w:r>
      <w:r w:rsidR="006C3606">
        <w:t>A w</w:t>
      </w:r>
      <w:r w:rsidR="00DE46D1">
        <w:t xml:space="preserve">eak tilts </w:t>
      </w:r>
      <w:r w:rsidR="0068370D">
        <w:t xml:space="preserve">of </w:t>
      </w:r>
      <w:r w:rsidR="006C3606">
        <w:t>o</w:t>
      </w:r>
      <w:r w:rsidR="0068370D">
        <w:t>dds</w:t>
      </w:r>
      <w:r w:rsidR="00DE46D1">
        <w:t xml:space="preserve"> </w:t>
      </w:r>
      <w:r w:rsidR="0068370D">
        <w:t xml:space="preserve">for </w:t>
      </w:r>
      <w:r w:rsidR="00DE46D1">
        <w:t xml:space="preserve">above-normal </w:t>
      </w:r>
      <w:r w:rsidR="0068370D">
        <w:t>temperature</w:t>
      </w:r>
      <w:r w:rsidR="00DE46D1">
        <w:t xml:space="preserve"> are predicted over the southern regions and northeast South America where model consistency is also </w:t>
      </w:r>
      <w:r w:rsidR="00464210">
        <w:t xml:space="preserve">relatively </w:t>
      </w:r>
      <w:r w:rsidR="00DE46D1">
        <w:t>low</w:t>
      </w:r>
      <w:r w:rsidR="00464210">
        <w:t>er</w:t>
      </w:r>
      <w:r w:rsidR="00DE46D1">
        <w:t xml:space="preserve">. No regions </w:t>
      </w:r>
      <w:r w:rsidR="00DB0455">
        <w:t xml:space="preserve">over South America are predicted to have odds </w:t>
      </w:r>
      <w:r w:rsidR="00464210">
        <w:t xml:space="preserve">tilted towards </w:t>
      </w:r>
      <w:r w:rsidR="00DB0455">
        <w:t xml:space="preserve">below-normal </w:t>
      </w:r>
      <w:r w:rsidR="0068370D">
        <w:t>temperature</w:t>
      </w:r>
      <w:r w:rsidR="00DB0455">
        <w:t xml:space="preserve">. The </w:t>
      </w:r>
      <w:r w:rsidR="00464210">
        <w:t>tilt of the odds towards</w:t>
      </w:r>
      <w:r w:rsidR="00DB0455">
        <w:t xml:space="preserve"> above-normal temperature represents </w:t>
      </w:r>
      <w:r w:rsidR="0068370D">
        <w:t>a continuation of</w:t>
      </w:r>
      <w:r w:rsidR="00DB0455">
        <w:t xml:space="preserve"> above-normal temperature during November 2019-January 2020 throughout South America</w:t>
      </w:r>
      <w:r>
        <w:t xml:space="preserve">. </w:t>
      </w:r>
    </w:p>
    <w:p w14:paraId="405C1403" w14:textId="757F3464" w:rsidR="00197252" w:rsidRDefault="00197252" w:rsidP="00197252">
      <w:r>
        <w:t xml:space="preserve">RA IV (North America, Central America and the Caribbean): Strongly enhanced probabilities for above-normal temperature are predicted in Central America, the Caribbean, and other adjacent portions of southern North America, all with strong model consistency. Much of these regions </w:t>
      </w:r>
      <w:r w:rsidR="0068370D">
        <w:t xml:space="preserve">also </w:t>
      </w:r>
      <w:r>
        <w:t xml:space="preserve">experienced above-normal temperatures during </w:t>
      </w:r>
      <w:r w:rsidR="0068370D">
        <w:t>November 2019-January 2020</w:t>
      </w:r>
      <w:r>
        <w:t xml:space="preserve">. The remainder of the continent has a weak tilt of the odds towards above-normal, </w:t>
      </w:r>
      <w:r w:rsidR="0082320A">
        <w:t xml:space="preserve">with some regions, </w:t>
      </w:r>
      <w:r w:rsidR="006C3606">
        <w:t xml:space="preserve">for example, </w:t>
      </w:r>
      <w:r w:rsidR="0082320A">
        <w:t>western and southern coastal regions of North America</w:t>
      </w:r>
      <w:r w:rsidR="006C3606">
        <w:t>,</w:t>
      </w:r>
      <w:r w:rsidR="0082320A">
        <w:t xml:space="preserve"> having strong model consistency.</w:t>
      </w:r>
    </w:p>
    <w:p w14:paraId="58CCBB94" w14:textId="06D466DA" w:rsidR="00197252" w:rsidRDefault="00197252" w:rsidP="00197252">
      <w:r>
        <w:t xml:space="preserve">RA V (Southwest Pacific): Moderately to strongly enhanced probabilities for above-normal temperature are predicted in most of </w:t>
      </w:r>
      <w:r w:rsidR="0082320A">
        <w:t xml:space="preserve">northern </w:t>
      </w:r>
      <w:r>
        <w:t xml:space="preserve">Australia, the Indonesian Archipelago and the southwest Pacific islands. </w:t>
      </w:r>
      <w:r w:rsidR="0082320A">
        <w:t>No e</w:t>
      </w:r>
      <w:r>
        <w:t xml:space="preserve">xceptions </w:t>
      </w:r>
      <w:r w:rsidR="0082320A">
        <w:t xml:space="preserve">for </w:t>
      </w:r>
      <w:r w:rsidR="00C07E1F">
        <w:t>tilts</w:t>
      </w:r>
      <w:r w:rsidR="0082320A">
        <w:t xml:space="preserve"> of odds towards below-normal temperature are </w:t>
      </w:r>
      <w:r w:rsidR="006C3606">
        <w:t>predicted</w:t>
      </w:r>
      <w:r w:rsidR="0082320A">
        <w:t xml:space="preserve"> over land areas</w:t>
      </w:r>
      <w:r>
        <w:t>. Virtually all of the areas with a warm-tilting forecast ha</w:t>
      </w:r>
      <w:r w:rsidR="009A6560">
        <w:t>ve</w:t>
      </w:r>
      <w:r>
        <w:t xml:space="preserve"> moderate to strong model consistency. </w:t>
      </w:r>
      <w:r w:rsidR="002211D1">
        <w:t xml:space="preserve">A considerable portion </w:t>
      </w:r>
      <w:r>
        <w:t xml:space="preserve">of these areas also experienced above-normal temperature in </w:t>
      </w:r>
      <w:r w:rsidR="0082320A">
        <w:t>November 2019-January 2020</w:t>
      </w:r>
      <w:r>
        <w:t>.</w:t>
      </w:r>
    </w:p>
    <w:p w14:paraId="2719EE9D" w14:textId="5860273C" w:rsidR="009B16FB" w:rsidRPr="0057036B" w:rsidRDefault="00197252" w:rsidP="00F2578B">
      <w:pPr>
        <w:jc w:val="left"/>
      </w:pPr>
      <w:r>
        <w:t>RA VI (Europe): Weak</w:t>
      </w:r>
      <w:r w:rsidR="002211D1">
        <w:t>ly</w:t>
      </w:r>
      <w:r w:rsidR="00C07E1F">
        <w:t xml:space="preserve"> to moderate</w:t>
      </w:r>
      <w:r w:rsidR="002211D1">
        <w:t>ly</w:t>
      </w:r>
      <w:r>
        <w:t xml:space="preserve"> enhanced probabilities for above-normal temperature are predicted in most of Europe and Iceland, but not Greenland. Probabilities for above-normal are stronger in parts of </w:t>
      </w:r>
      <w:r w:rsidR="00EA4075">
        <w:t>northern</w:t>
      </w:r>
      <w:r>
        <w:t xml:space="preserve"> Europe. Consistency among individual models for the areas having an above-normal prediction is moderate to strong. This prediction for above-normal temperature follows up on generally above-normal temperatures observed over most of mainland Europe in </w:t>
      </w:r>
      <w:r w:rsidR="00EA4075">
        <w:t>November 2019-January 2020</w:t>
      </w:r>
      <w:r>
        <w:t>.</w:t>
      </w:r>
      <w:r w:rsidR="009B16FB" w:rsidRPr="0057036B">
        <w:br/>
      </w:r>
      <w:r w:rsidR="009B16FB" w:rsidRPr="0057036B">
        <w:br w:type="page"/>
      </w:r>
    </w:p>
    <w:p w14:paraId="28E3CF3C" w14:textId="7BCE02C8" w:rsidR="009B16FB" w:rsidRPr="0057036B" w:rsidRDefault="009B16FB" w:rsidP="00E811A4">
      <w:pPr>
        <w:pStyle w:val="Heading2"/>
      </w:pPr>
      <w:r w:rsidRPr="0057036B">
        <w:lastRenderedPageBreak/>
        <w:t>2.3</w:t>
      </w:r>
      <w:r w:rsidRPr="0057036B">
        <w:tab/>
        <w:t>Predicte</w:t>
      </w:r>
      <w:r w:rsidR="008434A4">
        <w:t>d</w:t>
      </w:r>
      <w:r w:rsidR="00EC6319">
        <w:t xml:space="preserve"> precipitation, </w:t>
      </w:r>
      <w:r w:rsidR="001C289F">
        <w:t>March-April-May</w:t>
      </w:r>
      <w:r w:rsidR="00197252" w:rsidRPr="00197252">
        <w:t xml:space="preserve"> 2020</w:t>
      </w:r>
    </w:p>
    <w:p w14:paraId="4691EE3D" w14:textId="32CE1B42" w:rsidR="009B16FB" w:rsidRPr="0057036B" w:rsidRDefault="008D01C1" w:rsidP="004D4551">
      <w:pPr>
        <w:jc w:val="center"/>
      </w:pPr>
      <w:r>
        <w:rPr>
          <w:noProof/>
          <w:lang w:val="en-US" w:eastAsia="en-US"/>
        </w:rPr>
        <w:drawing>
          <wp:inline distT="0" distB="0" distL="0" distR="0" wp14:anchorId="27F884A6" wp14:editId="0405ADB3">
            <wp:extent cx="4324350" cy="3295650"/>
            <wp:effectExtent l="0" t="0" r="0" b="0"/>
            <wp:docPr id="18" name="그림 5" descr="http://10.200.111.67/GSCU_report/DATA/PNGD/202002/MME/PMME/PMME_CB_202002_202003_202005_MAM_APCP0m_Global.png"/>
            <wp:cNvGraphicFramePr/>
            <a:graphic xmlns:a="http://schemas.openxmlformats.org/drawingml/2006/main">
              <a:graphicData uri="http://schemas.openxmlformats.org/drawingml/2006/picture">
                <pic:pic xmlns:pic="http://schemas.openxmlformats.org/drawingml/2006/picture">
                  <pic:nvPicPr>
                    <pic:cNvPr id="5" name="그림 5" descr="http://10.200.111.67/GSCU_report/DATA/PNGD/202002/MME/PMME/PMME_CB_202002_202003_202005_MAM_APCP0m_Global.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4350" cy="3295650"/>
                    </a:xfrm>
                    <a:prstGeom prst="rect">
                      <a:avLst/>
                    </a:prstGeom>
                    <a:noFill/>
                    <a:ln>
                      <a:noFill/>
                    </a:ln>
                  </pic:spPr>
                </pic:pic>
              </a:graphicData>
            </a:graphic>
          </wp:inline>
        </w:drawing>
      </w:r>
    </w:p>
    <w:p w14:paraId="6306B229" w14:textId="77777777" w:rsidR="00026C26" w:rsidRDefault="00026C26" w:rsidP="00936648">
      <w:pPr>
        <w:jc w:val="center"/>
        <w:rPr>
          <w:sz w:val="16"/>
          <w:szCs w:val="16"/>
        </w:rPr>
      </w:pPr>
    </w:p>
    <w:p w14:paraId="2E73ECFC" w14:textId="2A359930" w:rsidR="00936648" w:rsidRDefault="004D4551" w:rsidP="00936648">
      <w:pPr>
        <w:jc w:val="center"/>
      </w:pPr>
      <w:r>
        <w:rPr>
          <w:sz w:val="16"/>
          <w:szCs w:val="16"/>
        </w:rPr>
        <w:t>Figure 5.</w:t>
      </w:r>
      <w:r w:rsidR="009B16FB" w:rsidRPr="004D4551">
        <w:rPr>
          <w:sz w:val="16"/>
          <w:szCs w:val="16"/>
        </w:rPr>
        <w:t xml:space="preserve"> Probabilistic forecasts of pr</w:t>
      </w:r>
      <w:r w:rsidR="00410425">
        <w:rPr>
          <w:sz w:val="16"/>
          <w:szCs w:val="16"/>
        </w:rPr>
        <w:t xml:space="preserve">ecipitation for the season </w:t>
      </w:r>
      <w:r w:rsidR="00197252">
        <w:rPr>
          <w:sz w:val="16"/>
          <w:szCs w:val="16"/>
        </w:rPr>
        <w:t xml:space="preserve">for December </w:t>
      </w:r>
      <w:r w:rsidR="00197252" w:rsidRPr="00E71BF1">
        <w:rPr>
          <w:sz w:val="16"/>
          <w:szCs w:val="16"/>
        </w:rPr>
        <w:t xml:space="preserve"> 2019</w:t>
      </w:r>
      <w:r w:rsidR="00197252">
        <w:rPr>
          <w:sz w:val="16"/>
          <w:szCs w:val="16"/>
        </w:rPr>
        <w:t>-January-Februaey 2020</w:t>
      </w:r>
      <w:r w:rsidR="009B16FB" w:rsidRPr="004D4551">
        <w:rPr>
          <w:sz w:val="16"/>
          <w:szCs w:val="16"/>
        </w:rPr>
        <w:t>. The tercile category with the highest forecast probability is indicated by shaded areas. The most likely category for below-normal, above-normal and near-normal is depicted in orange, green and grey shadings respectively. White areas indicate equal chances for</w:t>
      </w:r>
      <w:r>
        <w:rPr>
          <w:sz w:val="16"/>
          <w:szCs w:val="16"/>
        </w:rPr>
        <w:t xml:space="preserve"> all categories in both cases. </w:t>
      </w:r>
      <w:r>
        <w:rPr>
          <w:sz w:val="16"/>
          <w:szCs w:val="16"/>
        </w:rPr>
        <w:br/>
      </w:r>
      <w:r w:rsidR="009B16FB" w:rsidRPr="004D4551">
        <w:rPr>
          <w:sz w:val="16"/>
          <w:szCs w:val="16"/>
        </w:rPr>
        <w:t>The baseline period is</w:t>
      </w:r>
      <w:r>
        <w:rPr>
          <w:sz w:val="16"/>
          <w:szCs w:val="16"/>
        </w:rPr>
        <w:t> </w:t>
      </w:r>
      <w:r w:rsidR="009B16FB" w:rsidRPr="004D4551">
        <w:rPr>
          <w:sz w:val="16"/>
          <w:szCs w:val="16"/>
        </w:rPr>
        <w:t>1993</w:t>
      </w:r>
      <w:r>
        <w:rPr>
          <w:sz w:val="16"/>
          <w:szCs w:val="16"/>
        </w:rPr>
        <w:t>–</w:t>
      </w:r>
      <w:r w:rsidR="009B16FB" w:rsidRPr="004D4551">
        <w:rPr>
          <w:sz w:val="16"/>
          <w:szCs w:val="16"/>
        </w:rPr>
        <w:t>2009.</w:t>
      </w:r>
      <w:r w:rsidR="001967D3">
        <w:rPr>
          <w:sz w:val="16"/>
          <w:szCs w:val="16"/>
        </w:rPr>
        <w:t xml:space="preserve"> Figure is generated by </w:t>
      </w:r>
      <w:r w:rsidR="001967D3" w:rsidRPr="001967D3">
        <w:rPr>
          <w:rFonts w:hint="eastAsia"/>
          <w:sz w:val="16"/>
          <w:szCs w:val="16"/>
        </w:rPr>
        <w:t>The WMO Lead Centre for Long-Range Forecast Multi-Model Ensemble</w:t>
      </w:r>
      <w:r w:rsidR="001967D3">
        <w:rPr>
          <w:sz w:val="16"/>
          <w:szCs w:val="16"/>
        </w:rPr>
        <w:t>.</w:t>
      </w:r>
    </w:p>
    <w:p w14:paraId="6CB7794A" w14:textId="30575784" w:rsidR="009B16FB" w:rsidRDefault="009B16FB" w:rsidP="00936648">
      <w:pPr>
        <w:jc w:val="center"/>
      </w:pPr>
      <w:r w:rsidRPr="0057036B">
        <w:t xml:space="preserve"> </w:t>
      </w:r>
    </w:p>
    <w:p w14:paraId="43F46D11" w14:textId="546AF694" w:rsidR="00197252" w:rsidRDefault="00197252" w:rsidP="00197252">
      <w:r>
        <w:t xml:space="preserve">Near-average </w:t>
      </w:r>
      <w:r w:rsidR="00DB74CB">
        <w:t xml:space="preserve">SST </w:t>
      </w:r>
      <w:r>
        <w:t xml:space="preserve">conditions are expected during the </w:t>
      </w:r>
      <w:r w:rsidR="00192622">
        <w:t>March-May 2020</w:t>
      </w:r>
      <w:r>
        <w:t xml:space="preserve"> season in the central and eastern equatorial Pacific, with anomalously positive SST conditions in the western Pacific and western Indian Ocean. Some of the predicted large-scale seasonal precipitation anomalies are consistent with this spatial pattern, as for example</w:t>
      </w:r>
      <w:r w:rsidR="002939B7">
        <w:t>,</w:t>
      </w:r>
      <w:r>
        <w:t xml:space="preserve"> an enhanced likelihood of above-average precipitation in </w:t>
      </w:r>
      <w:r w:rsidR="004C04B5">
        <w:t xml:space="preserve">the </w:t>
      </w:r>
      <w:r w:rsidR="00192622">
        <w:t xml:space="preserve">western Indian Ocean and </w:t>
      </w:r>
      <w:r>
        <w:t xml:space="preserve">eastern equatorial Africa in association with the warm SST in the western Indian Ocean. </w:t>
      </w:r>
      <w:r w:rsidR="00192622">
        <w:t>In the equatorial Pacific</w:t>
      </w:r>
      <w:r w:rsidR="00D472D4">
        <w:t>,</w:t>
      </w:r>
      <w:r w:rsidR="00192622">
        <w:t xml:space="preserve"> </w:t>
      </w:r>
      <w:r w:rsidR="00212A6F">
        <w:t>a</w:t>
      </w:r>
      <w:r w:rsidR="00D472D4">
        <w:t xml:space="preserve"> tilt of odds </w:t>
      </w:r>
      <w:r w:rsidR="00212A6F">
        <w:t>towards</w:t>
      </w:r>
      <w:r w:rsidR="00D472D4">
        <w:t xml:space="preserve"> </w:t>
      </w:r>
      <w:r w:rsidR="00192622">
        <w:t>near-</w:t>
      </w:r>
      <w:r w:rsidR="00D472D4">
        <w:t>normal</w:t>
      </w:r>
      <w:r w:rsidR="00192622">
        <w:t xml:space="preserve"> conditions </w:t>
      </w:r>
      <w:r w:rsidR="00212A6F">
        <w:t xml:space="preserve">is predicted, </w:t>
      </w:r>
      <w:r w:rsidR="00192622">
        <w:t xml:space="preserve">with an east-west band </w:t>
      </w:r>
      <w:r w:rsidR="00212A6F">
        <w:t>of enhanced likelihood for</w:t>
      </w:r>
      <w:r w:rsidR="00192622">
        <w:t xml:space="preserve"> above</w:t>
      </w:r>
      <w:r w:rsidR="00D472D4">
        <w:t>-</w:t>
      </w:r>
      <w:r w:rsidR="00192622">
        <w:t xml:space="preserve">normal </w:t>
      </w:r>
      <w:r w:rsidR="002939B7">
        <w:t xml:space="preserve">precipitation </w:t>
      </w:r>
      <w:r w:rsidR="00192622">
        <w:t xml:space="preserve">north of </w:t>
      </w:r>
      <w:r w:rsidR="002939B7">
        <w:t xml:space="preserve">the </w:t>
      </w:r>
      <w:r w:rsidR="00192622">
        <w:t xml:space="preserve">equator and for tilt of odds </w:t>
      </w:r>
      <w:r w:rsidR="00212A6F">
        <w:t>towards</w:t>
      </w:r>
      <w:r w:rsidR="00192622">
        <w:t xml:space="preserve"> below-normal </w:t>
      </w:r>
      <w:r w:rsidR="00D472D4">
        <w:t xml:space="preserve">precipitation </w:t>
      </w:r>
      <w:r w:rsidR="00192622">
        <w:t xml:space="preserve">south of the equator in </w:t>
      </w:r>
      <w:r w:rsidR="00212A6F">
        <w:t xml:space="preserve">the </w:t>
      </w:r>
      <w:r w:rsidR="00192622">
        <w:t>central Pacific</w:t>
      </w:r>
      <w:r>
        <w:t xml:space="preserve">. Outside of these regions, most tilts of the odds towards above-normal or below-normal </w:t>
      </w:r>
      <w:r w:rsidR="00192622">
        <w:t xml:space="preserve">for oceanic </w:t>
      </w:r>
      <w:r>
        <w:t>precipitation</w:t>
      </w:r>
      <w:r w:rsidR="00DD0499">
        <w:t xml:space="preserve"> are not particularly strong.  </w:t>
      </w:r>
    </w:p>
    <w:p w14:paraId="5D179802" w14:textId="660558A9" w:rsidR="00197252" w:rsidRDefault="00197252" w:rsidP="00197252">
      <w:r>
        <w:t xml:space="preserve">RA I (Africa): Enhanced probabilities for below-normal precipitation are predicted </w:t>
      </w:r>
      <w:r w:rsidR="007F07C1">
        <w:t xml:space="preserve">from </w:t>
      </w:r>
      <w:r>
        <w:t xml:space="preserve">southern Africa </w:t>
      </w:r>
      <w:r w:rsidR="00D472D4">
        <w:t xml:space="preserve">to the island regions farther east </w:t>
      </w:r>
      <w:r>
        <w:t xml:space="preserve">with </w:t>
      </w:r>
      <w:r w:rsidR="00D472D4">
        <w:t xml:space="preserve">moderate to </w:t>
      </w:r>
      <w:r>
        <w:t xml:space="preserve">strong model consistency. This forecast represents a continuation of dry conditions in southern Africa experienced in </w:t>
      </w:r>
      <w:r w:rsidR="00D472D4">
        <w:t>November 2019-January 2020</w:t>
      </w:r>
      <w:r>
        <w:t xml:space="preserve">.  An enhanced probability for above-normal </w:t>
      </w:r>
      <w:r w:rsidR="00D472D4">
        <w:t xml:space="preserve">precipitation </w:t>
      </w:r>
      <w:r>
        <w:t xml:space="preserve">is predicted for eastern equatorial Africa, particularly the portion </w:t>
      </w:r>
      <w:r w:rsidR="00E01DC7">
        <w:t xml:space="preserve">just </w:t>
      </w:r>
      <w:r>
        <w:t>south of the equator</w:t>
      </w:r>
      <w:r w:rsidR="00D472D4">
        <w:t xml:space="preserve"> extending into the western Indian Ocean</w:t>
      </w:r>
      <w:r>
        <w:t xml:space="preserve">. Having moderate model consistency, this prediction marks a continuation of above-normal rains </w:t>
      </w:r>
      <w:r w:rsidR="00D472D4">
        <w:t>observed</w:t>
      </w:r>
      <w:r>
        <w:t xml:space="preserve"> in </w:t>
      </w:r>
      <w:r w:rsidR="00D472D4">
        <w:t>November 2019-Jauary 2020</w:t>
      </w:r>
      <w:r>
        <w:t xml:space="preserve">. </w:t>
      </w:r>
      <w:r w:rsidR="00D472D4">
        <w:t>Isolated regions of e</w:t>
      </w:r>
      <w:r>
        <w:t>nhanced probabilities of near-normal precipitation are forecast in regions of the Sahel and Sahara where no rain is exp</w:t>
      </w:r>
      <w:r w:rsidR="00DD0499">
        <w:t>ected during this time of year.</w:t>
      </w:r>
    </w:p>
    <w:p w14:paraId="6D2F7651" w14:textId="5C1D1063" w:rsidR="00197252" w:rsidRDefault="00197252" w:rsidP="00197252">
      <w:r>
        <w:t xml:space="preserve">RA II (Asia): Weakly enhanced probabilities for above-normal precipitation are predicted in much of northern Asia as well as </w:t>
      </w:r>
      <w:r w:rsidR="00244BFF">
        <w:t xml:space="preserve">the </w:t>
      </w:r>
      <w:r w:rsidR="000A07FF">
        <w:t xml:space="preserve">northern region of </w:t>
      </w:r>
      <w:r>
        <w:t>southeast</w:t>
      </w:r>
      <w:r w:rsidR="00244BFF">
        <w:t xml:space="preserve"> Asia</w:t>
      </w:r>
      <w:r>
        <w:t xml:space="preserve">, all with moderate model consistency. </w:t>
      </w:r>
      <w:r w:rsidR="000A07FF">
        <w:t>A small region of w</w:t>
      </w:r>
      <w:r>
        <w:t xml:space="preserve">eakly enhanced </w:t>
      </w:r>
      <w:r w:rsidR="001967D3">
        <w:t>probability</w:t>
      </w:r>
      <w:r>
        <w:t xml:space="preserve"> for below-normal </w:t>
      </w:r>
      <w:r w:rsidR="00CC1F5E">
        <w:t xml:space="preserve">precipitation is </w:t>
      </w:r>
      <w:r>
        <w:t>predicted for</w:t>
      </w:r>
      <w:r w:rsidR="00714869">
        <w:t xml:space="preserve"> part of southeast Asia</w:t>
      </w:r>
      <w:r>
        <w:t xml:space="preserve">, with moderate </w:t>
      </w:r>
      <w:r w:rsidR="000A07FF">
        <w:t>model</w:t>
      </w:r>
      <w:r w:rsidR="001967D3">
        <w:t xml:space="preserve"> consistency</w:t>
      </w:r>
      <w:r>
        <w:t xml:space="preserve">. Elsewhere over Asia </w:t>
      </w:r>
      <w:r w:rsidR="00857F2D">
        <w:t xml:space="preserve">little or </w:t>
      </w:r>
      <w:r>
        <w:t>no discernible predictive signal is found.</w:t>
      </w:r>
    </w:p>
    <w:p w14:paraId="4D008C94" w14:textId="597D8B17" w:rsidR="00197252" w:rsidRDefault="00197252" w:rsidP="00197252">
      <w:r>
        <w:lastRenderedPageBreak/>
        <w:t xml:space="preserve">RA III (South America): An enhanced probability for below-normal precipitation is predicted over part of southern South America, as well as </w:t>
      </w:r>
      <w:r w:rsidR="00FB4CFB">
        <w:t xml:space="preserve">for </w:t>
      </w:r>
      <w:r>
        <w:t xml:space="preserve">the far northern parts of the continent. Model consistency for these areas is moderately strong. </w:t>
      </w:r>
      <w:r w:rsidR="00FB4CFB">
        <w:t>E</w:t>
      </w:r>
      <w:r>
        <w:t xml:space="preserve">nhanced probabilities for above-normal </w:t>
      </w:r>
      <w:r w:rsidR="00FB4CFB">
        <w:t xml:space="preserve">precipitation </w:t>
      </w:r>
      <w:r>
        <w:t xml:space="preserve">are forecast for a narrow band </w:t>
      </w:r>
      <w:r w:rsidR="005B325C">
        <w:t xml:space="preserve">in the </w:t>
      </w:r>
      <w:r>
        <w:t>east</w:t>
      </w:r>
      <w:r w:rsidR="004E73B2">
        <w:t>ern</w:t>
      </w:r>
      <w:r>
        <w:t xml:space="preserve"> equator</w:t>
      </w:r>
      <w:r w:rsidR="00FB4CFB">
        <w:t>ial region extending into the Atlantic Ocean</w:t>
      </w:r>
      <w:r>
        <w:t xml:space="preserve">, with moderate model consistency. Forecasts for all of the above areas for below-normal or above-normal generally </w:t>
      </w:r>
      <w:r w:rsidR="00FB4CFB">
        <w:t xml:space="preserve">do not coincide with systematic precipitation anomalies </w:t>
      </w:r>
      <w:r w:rsidR="005B325C">
        <w:t xml:space="preserve">during </w:t>
      </w:r>
      <w:r w:rsidR="00FB4CFB">
        <w:t>November 2019-January 2020</w:t>
      </w:r>
      <w:r w:rsidR="00DD0499">
        <w:t>.</w:t>
      </w:r>
    </w:p>
    <w:p w14:paraId="7D2426C9" w14:textId="3CF50B15" w:rsidR="00197252" w:rsidRDefault="00197252" w:rsidP="00197252">
      <w:r>
        <w:t xml:space="preserve">RA IV (North America, Central America and the Caribbean): </w:t>
      </w:r>
      <w:r w:rsidR="004E73B2">
        <w:t>E</w:t>
      </w:r>
      <w:r>
        <w:t>nhanced probability for below-normal precipitation is predicted for Central America</w:t>
      </w:r>
      <w:r w:rsidR="004E73B2">
        <w:t xml:space="preserve"> and </w:t>
      </w:r>
      <w:r w:rsidR="00205459">
        <w:t xml:space="preserve">the </w:t>
      </w:r>
      <w:r w:rsidR="004E73B2">
        <w:t>Caribbean</w:t>
      </w:r>
      <w:r>
        <w:t xml:space="preserve">, with moderate </w:t>
      </w:r>
      <w:r w:rsidR="004E73B2">
        <w:t xml:space="preserve">to strong </w:t>
      </w:r>
      <w:r>
        <w:t xml:space="preserve">model consistency. Weakly enhanced probabilities of above-normal precipitation are forecast in the </w:t>
      </w:r>
      <w:r w:rsidR="004E73B2">
        <w:t xml:space="preserve">eastern </w:t>
      </w:r>
      <w:r>
        <w:t xml:space="preserve">portions North America, as well as part of the </w:t>
      </w:r>
      <w:r w:rsidR="004E73B2">
        <w:t xml:space="preserve">northwest </w:t>
      </w:r>
      <w:r>
        <w:t xml:space="preserve">portion of the continent. These above-normal forecast regions have mainly </w:t>
      </w:r>
      <w:r w:rsidR="00B05C31">
        <w:t xml:space="preserve">a </w:t>
      </w:r>
      <w:r w:rsidR="004E73B2">
        <w:t xml:space="preserve">weak to </w:t>
      </w:r>
      <w:r>
        <w:t xml:space="preserve">moderate model consistency. A sizable portion of the area in </w:t>
      </w:r>
      <w:r w:rsidR="004E73B2">
        <w:t>Central America and Caribbean</w:t>
      </w:r>
      <w:r w:rsidR="004E73B2" w:rsidDel="004E73B2">
        <w:t xml:space="preserve"> </w:t>
      </w:r>
      <w:r>
        <w:t xml:space="preserve">having a </w:t>
      </w:r>
      <w:r w:rsidR="004E73B2">
        <w:t>below</w:t>
      </w:r>
      <w:r>
        <w:t xml:space="preserve">-normal forecast also experienced </w:t>
      </w:r>
      <w:r w:rsidR="004E73B2">
        <w:t>below</w:t>
      </w:r>
      <w:r>
        <w:t>-normal precip</w:t>
      </w:r>
      <w:r w:rsidR="00DD0499">
        <w:t xml:space="preserve">itation during </w:t>
      </w:r>
      <w:r w:rsidR="004E73B2">
        <w:t>November 2019-January 2020</w:t>
      </w:r>
      <w:r w:rsidR="00DD0499">
        <w:t xml:space="preserve">. </w:t>
      </w:r>
    </w:p>
    <w:p w14:paraId="6EF0DCBC" w14:textId="1CC792F1" w:rsidR="00197252" w:rsidRDefault="00197252" w:rsidP="00197252">
      <w:r>
        <w:t xml:space="preserve">RA V (Southwest Pacific): Enhanced probabilities for below-normal precipitation are predicted for the </w:t>
      </w:r>
      <w:r w:rsidR="00A6217A">
        <w:t xml:space="preserve">northern parts of </w:t>
      </w:r>
      <w:r w:rsidR="001A7908">
        <w:t xml:space="preserve">the </w:t>
      </w:r>
      <w:r>
        <w:t xml:space="preserve">Indonesia Archipelago, </w:t>
      </w:r>
      <w:r w:rsidR="001A7908">
        <w:t>part</w:t>
      </w:r>
      <w:r w:rsidR="00A6217A">
        <w:t xml:space="preserve"> of extreme north Australia </w:t>
      </w:r>
      <w:r>
        <w:t xml:space="preserve">and the </w:t>
      </w:r>
      <w:r w:rsidR="00B612AF">
        <w:t xml:space="preserve">southwest partion of the </w:t>
      </w:r>
      <w:r>
        <w:t xml:space="preserve">Pacific islands. </w:t>
      </w:r>
      <w:r w:rsidR="00A6217A">
        <w:t>A southwest</w:t>
      </w:r>
      <w:r w:rsidR="00FA5A51">
        <w:t>-</w:t>
      </w:r>
      <w:r w:rsidR="00A6217A">
        <w:t>to</w:t>
      </w:r>
      <w:r w:rsidR="00FA5A51">
        <w:t>-</w:t>
      </w:r>
      <w:r w:rsidR="00A6217A">
        <w:t xml:space="preserve">northeast band of </w:t>
      </w:r>
      <w:r w:rsidR="00B612AF">
        <w:t xml:space="preserve">enhanced probability for </w:t>
      </w:r>
      <w:r w:rsidR="00A6217A">
        <w:t xml:space="preserve">below-normal precipitation also stretches </w:t>
      </w:r>
      <w:r w:rsidR="001B4D7D">
        <w:t>from</w:t>
      </w:r>
      <w:r w:rsidR="00A6217A">
        <w:t xml:space="preserve"> </w:t>
      </w:r>
      <w:r w:rsidR="00FA5A51">
        <w:t xml:space="preserve">the </w:t>
      </w:r>
      <w:r w:rsidR="00A6217A">
        <w:t xml:space="preserve">western </w:t>
      </w:r>
      <w:r w:rsidR="00FA5A51">
        <w:t xml:space="preserve">tropical Pacific </w:t>
      </w:r>
      <w:r w:rsidR="00A6217A">
        <w:t xml:space="preserve">to </w:t>
      </w:r>
      <w:r w:rsidR="00FA5A51">
        <w:t xml:space="preserve">the </w:t>
      </w:r>
      <w:r w:rsidR="00A6217A">
        <w:t>north</w:t>
      </w:r>
      <w:r w:rsidR="00FA5A51">
        <w:t>east</w:t>
      </w:r>
      <w:r w:rsidR="00A6217A">
        <w:t xml:space="preserve"> extratropical Pacific. </w:t>
      </w:r>
      <w:r w:rsidR="00FA5A51">
        <w:t>The s</w:t>
      </w:r>
      <w:r w:rsidR="00A6217A">
        <w:t xml:space="preserve">outhern parts of </w:t>
      </w:r>
      <w:r w:rsidR="00FA5A51">
        <w:t xml:space="preserve">the </w:t>
      </w:r>
      <w:r w:rsidR="00A6217A">
        <w:t xml:space="preserve">Indonesia Archipelago are predicted to have </w:t>
      </w:r>
      <w:r w:rsidR="00FA5A51">
        <w:t xml:space="preserve">a </w:t>
      </w:r>
      <w:r w:rsidR="001B4D7D">
        <w:t>tilt</w:t>
      </w:r>
      <w:r w:rsidR="00A6217A">
        <w:t xml:space="preserve"> in odds </w:t>
      </w:r>
      <w:r w:rsidR="00FA5A51">
        <w:t>towards above-normal</w:t>
      </w:r>
      <w:r w:rsidR="00A6217A">
        <w:t xml:space="preserve"> precipitation. </w:t>
      </w:r>
      <w:r w:rsidR="00997A8F">
        <w:t xml:space="preserve">A tilt of the odds towards above-normal is also forecast for New Zealand with moderate model consistency. </w:t>
      </w:r>
      <w:r>
        <w:t xml:space="preserve">These regions all show moderate model consistency. </w:t>
      </w:r>
    </w:p>
    <w:p w14:paraId="6DA09EED" w14:textId="18820AC3" w:rsidR="009B16FB" w:rsidRPr="0057036B" w:rsidRDefault="00197252" w:rsidP="00197252">
      <w:r>
        <w:t>RA VI (Europe): A weakly enhanced probability of above-normal precipitation is predicted over much of northern Europe</w:t>
      </w:r>
      <w:r w:rsidR="006C7794">
        <w:t>, Iceland, and eastern Greenland</w:t>
      </w:r>
      <w:r>
        <w:t xml:space="preserve">, with moderate model consistency. A weak tilt of the odds towards below-normal is forecast for parts of extreme southern Europe, </w:t>
      </w:r>
      <w:r w:rsidR="00A32032">
        <w:t xml:space="preserve">including the Iberian Peninsula, </w:t>
      </w:r>
      <w:r>
        <w:t>with moderate model consistency.</w:t>
      </w:r>
      <w:r w:rsidR="009B16FB" w:rsidRPr="0057036B">
        <w:br w:type="page"/>
      </w:r>
    </w:p>
    <w:p w14:paraId="45FDD8FE" w14:textId="77777777" w:rsidR="009B16FB" w:rsidRPr="0057036B" w:rsidRDefault="009B16FB" w:rsidP="00E811A4">
      <w:pPr>
        <w:pStyle w:val="Heading1"/>
      </w:pPr>
      <w:r>
        <w:lastRenderedPageBreak/>
        <w:t>3</w:t>
      </w:r>
      <w:r w:rsidRPr="0057036B">
        <w:t>.</w:t>
      </w:r>
      <w:r>
        <w:t xml:space="preserve"> </w:t>
      </w:r>
      <w:r w:rsidRPr="0057036B">
        <w:t>Latest updates for monitoring and prediction information</w:t>
      </w:r>
    </w:p>
    <w:p w14:paraId="367A5B85" w14:textId="77777777" w:rsidR="009B16FB" w:rsidRPr="0057036B" w:rsidRDefault="009B16FB" w:rsidP="00E811A4">
      <w:r>
        <w:t>Each month, the l</w:t>
      </w:r>
      <w:r w:rsidRPr="0057036B">
        <w:t>atest updates for the real-time monitoring and seasonal mean predictions included in GSCU can be found at:</w:t>
      </w:r>
    </w:p>
    <w:p w14:paraId="0F15CF97" w14:textId="77777777" w:rsidR="008566CA" w:rsidRDefault="009B16FB" w:rsidP="008566CA">
      <w:r w:rsidRPr="008566CA">
        <w:t xml:space="preserve">Monitoring: </w:t>
      </w:r>
    </w:p>
    <w:p w14:paraId="52C99844" w14:textId="77777777" w:rsidR="009B16FB" w:rsidRPr="008566CA" w:rsidRDefault="00D942AF" w:rsidP="008566CA">
      <w:pPr>
        <w:rPr>
          <w:color w:val="005BAA"/>
        </w:rPr>
      </w:pPr>
      <w:hyperlink r:id="rId33" w:history="1">
        <w:r w:rsidR="009B16FB" w:rsidRPr="008566CA">
          <w:rPr>
            <w:rStyle w:val="Hyperlink"/>
            <w:rFonts w:ascii="Calibri" w:eastAsia="Calibri" w:hAnsi="Calibri" w:cs="Calibri"/>
            <w:color w:val="005BAA"/>
            <w:sz w:val="22"/>
            <w:szCs w:val="22"/>
          </w:rPr>
          <w:t>https://ftp.cpc.ncep.noaa.gov/mingyue/GSCUWMO/</w:t>
        </w:r>
      </w:hyperlink>
    </w:p>
    <w:p w14:paraId="1AE33C53" w14:textId="77777777" w:rsidR="009B16FB" w:rsidRPr="008566CA" w:rsidRDefault="009B16FB" w:rsidP="008566CA">
      <w:pPr>
        <w:rPr>
          <w:color w:val="005BAA"/>
        </w:rPr>
      </w:pPr>
      <w:r w:rsidRPr="008566CA">
        <w:t>Predictions:</w:t>
      </w:r>
      <w:r w:rsidR="008566CA" w:rsidRPr="008566CA">
        <w:rPr>
          <w:color w:val="005BAA"/>
        </w:rPr>
        <w:br/>
      </w:r>
      <w:hyperlink r:id="rId34" w:history="1">
        <w:r w:rsidRPr="008566CA">
          <w:rPr>
            <w:rStyle w:val="Hyperlink"/>
            <w:rFonts w:ascii="Calibri" w:eastAsia="Calibri" w:hAnsi="Calibri" w:cs="Calibri"/>
            <w:color w:val="005BAA"/>
            <w:sz w:val="22"/>
            <w:szCs w:val="22"/>
          </w:rPr>
          <w:t>https://www.wmolc.org/modules/data/plot/autograds4/download_PMME.php?filename=wmo/WMOLC_T2M.gif</w:t>
        </w:r>
      </w:hyperlink>
      <w:r w:rsidRPr="008566CA">
        <w:rPr>
          <w:rFonts w:ascii="Calibri" w:eastAsia="Calibri" w:hAnsi="Calibri" w:cs="Calibri"/>
          <w:color w:val="005BAA"/>
          <w:sz w:val="22"/>
          <w:szCs w:val="22"/>
        </w:rPr>
        <w:t xml:space="preserve"> </w:t>
      </w:r>
    </w:p>
    <w:p w14:paraId="1A8E0AE8" w14:textId="77777777" w:rsidR="009B16FB" w:rsidRPr="008566CA" w:rsidRDefault="00D942AF" w:rsidP="00E811A4">
      <w:pPr>
        <w:rPr>
          <w:color w:val="005BAA"/>
        </w:rPr>
      </w:pPr>
      <w:hyperlink r:id="rId35" w:history="1">
        <w:r w:rsidR="009B16FB" w:rsidRPr="008566CA">
          <w:rPr>
            <w:rStyle w:val="Hyperlink"/>
            <w:rFonts w:ascii="Calibri" w:eastAsia="Calibri" w:hAnsi="Calibri" w:cs="Calibri"/>
            <w:color w:val="005BAA"/>
            <w:sz w:val="22"/>
            <w:szCs w:val="22"/>
          </w:rPr>
          <w:t>https://www.wmolc.org/modules/data/plot/autograds4/download_PMME.php?filename=wmo/WMOLC_PREC.gif</w:t>
        </w:r>
      </w:hyperlink>
      <w:r w:rsidR="009B16FB" w:rsidRPr="008566CA">
        <w:rPr>
          <w:rFonts w:ascii="Calibri" w:eastAsia="Calibri" w:hAnsi="Calibri" w:cs="Calibri"/>
          <w:color w:val="005BAA"/>
          <w:sz w:val="22"/>
          <w:szCs w:val="22"/>
        </w:rPr>
        <w:t xml:space="preserve">   </w:t>
      </w:r>
    </w:p>
    <w:p w14:paraId="56451616" w14:textId="77777777" w:rsidR="008566CA" w:rsidRDefault="008566CA" w:rsidP="00E811A4">
      <w:pPr>
        <w:pStyle w:val="Heading1"/>
      </w:pPr>
    </w:p>
    <w:p w14:paraId="336D1F7D" w14:textId="77777777" w:rsidR="009B16FB" w:rsidRPr="0057036B" w:rsidRDefault="009B16FB" w:rsidP="00E811A4">
      <w:pPr>
        <w:pStyle w:val="Heading1"/>
      </w:pPr>
      <w:r>
        <w:t>4</w:t>
      </w:r>
      <w:r w:rsidRPr="0057036B">
        <w:t>.</w:t>
      </w:r>
      <w:r>
        <w:t xml:space="preserve"> </w:t>
      </w:r>
      <w:r w:rsidRPr="0057036B">
        <w:t>How to use the Global Seasonal Climate Update</w:t>
      </w:r>
    </w:p>
    <w:p w14:paraId="7C5DBB8C" w14:textId="77777777" w:rsidR="009B16FB" w:rsidRDefault="009B16FB" w:rsidP="008566CA">
      <w:r w:rsidRPr="00864739">
        <w:t xml:space="preserve">The GSCU is intended as guidance for RCCs, </w:t>
      </w:r>
      <w:r w:rsidR="008566CA" w:rsidRPr="00864739">
        <w:t>Regional Climate Outlook Forums (RCOFs)</w:t>
      </w:r>
      <w:r w:rsidRPr="00864739">
        <w:t xml:space="preserve"> and </w:t>
      </w:r>
      <w:r w:rsidR="008566CA" w:rsidRPr="00864739">
        <w:t>National Meteorological and Hydrological Service</w:t>
      </w:r>
      <w:r w:rsidR="008566CA">
        <w:t>s</w:t>
      </w:r>
      <w:r w:rsidR="008566CA" w:rsidRPr="00864739">
        <w:t xml:space="preserve"> (NMHS</w:t>
      </w:r>
      <w:r w:rsidR="008566CA">
        <w:t>s</w:t>
      </w:r>
      <w:r w:rsidR="008566CA" w:rsidRPr="00864739">
        <w:t>)</w:t>
      </w:r>
      <w:r w:rsidRPr="00864739">
        <w:t xml:space="preserve">. It does not constitute an official forecast for any region or nation. Seasonal outlooks for any region or nation should be obtained from the relevant RCCs </w:t>
      </w:r>
      <w:r w:rsidR="008566CA">
        <w:t>(</w:t>
      </w:r>
      <w:r w:rsidRPr="00864739">
        <w:t>see below for contact details) or</w:t>
      </w:r>
      <w:r w:rsidR="008566CA">
        <w:t xml:space="preserve"> NMHS</w:t>
      </w:r>
      <w:r w:rsidRPr="00864739">
        <w:t xml:space="preserve">. </w:t>
      </w:r>
    </w:p>
    <w:p w14:paraId="32F0F274" w14:textId="77777777" w:rsidR="009B16FB" w:rsidRDefault="009B16FB" w:rsidP="00E811A4">
      <w:r w:rsidRPr="00864739">
        <w:t xml:space="preserve">Seasonal forecasts are probabilistic in nature. Although the text and figures used in the GSCU highlight the tercile categories </w:t>
      </w:r>
      <w:r>
        <w:t xml:space="preserve">that is predicted with the highest </w:t>
      </w:r>
      <w:r w:rsidRPr="00864739">
        <w:t>probabilit</w:t>
      </w:r>
      <w:r>
        <w:t>y</w:t>
      </w:r>
      <w:r w:rsidRPr="00864739">
        <w:t xml:space="preserve">, it is important to recognize that the other tercile categories may also have substantial (though lower) probability. </w:t>
      </w:r>
    </w:p>
    <w:p w14:paraId="60922B13" w14:textId="77777777" w:rsidR="009B16FB" w:rsidRDefault="009B16FB" w:rsidP="00E811A4">
      <w:r w:rsidRPr="00864739">
        <w:t xml:space="preserve">The geographical areas occupied by the forecast signals should not be considered precise. Similarly, signals with small spatial extent may be unreliable. </w:t>
      </w:r>
    </w:p>
    <w:p w14:paraId="628B570F" w14:textId="77777777" w:rsidR="009B16FB" w:rsidRPr="00864739" w:rsidRDefault="009B16FB" w:rsidP="00E811A4">
      <w:r w:rsidRPr="00864739">
        <w:t xml:space="preserve">The skill of seasonal forecasts is substantially lower than that of </w:t>
      </w:r>
      <w:r>
        <w:t>weather timescales</w:t>
      </w:r>
      <w:r w:rsidRPr="00864739">
        <w:t xml:space="preserve"> and skill may vary considerably with region and season. It is important to view the forecast maps together with the skill maps provided in the supplementary appendices. </w:t>
      </w:r>
    </w:p>
    <w:p w14:paraId="1697CE84" w14:textId="77777777" w:rsidR="009B16FB" w:rsidRPr="00864739" w:rsidRDefault="009B16FB" w:rsidP="00E811A4">
      <w:r w:rsidRPr="00864739">
        <w:t>For reference, the six WMO Regional Association</w:t>
      </w:r>
      <w:r w:rsidR="0000028F">
        <w:t>s</w:t>
      </w:r>
      <w:r w:rsidRPr="00864739">
        <w:t xml:space="preserve"> domains are depicted in the figure below.</w:t>
      </w:r>
    </w:p>
    <w:p w14:paraId="58DA5F4A" w14:textId="77777777" w:rsidR="009B16FB" w:rsidRPr="0057036B" w:rsidRDefault="009B16FB" w:rsidP="008566CA">
      <w:pPr>
        <w:jc w:val="center"/>
      </w:pPr>
      <w:r w:rsidRPr="0057036B">
        <w:rPr>
          <w:noProof/>
          <w:lang w:val="en-US" w:eastAsia="en-US"/>
        </w:rPr>
        <w:drawing>
          <wp:inline distT="0" distB="0" distL="0" distR="0" wp14:anchorId="5541C72B" wp14:editId="57829E1A">
            <wp:extent cx="4143375" cy="2209800"/>
            <wp:effectExtent l="0" t="0" r="0" b="0"/>
            <wp:docPr id="34" name="image7.png" descr="http://210.98.49.152/GSCU_report/DATA/wmo_domain.png"/>
            <wp:cNvGraphicFramePr/>
            <a:graphic xmlns:a="http://schemas.openxmlformats.org/drawingml/2006/main">
              <a:graphicData uri="http://schemas.openxmlformats.org/drawingml/2006/picture">
                <pic:pic xmlns:pic="http://schemas.openxmlformats.org/drawingml/2006/picture">
                  <pic:nvPicPr>
                    <pic:cNvPr id="0" name="image7.png" descr="http://210.98.49.152/GSCU_report/DATA/wmo_domain.png"/>
                    <pic:cNvPicPr preferRelativeResize="0"/>
                  </pic:nvPicPr>
                  <pic:blipFill>
                    <a:blip r:embed="rId36"/>
                    <a:srcRect/>
                    <a:stretch>
                      <a:fillRect/>
                    </a:stretch>
                  </pic:blipFill>
                  <pic:spPr>
                    <a:xfrm>
                      <a:off x="0" y="0"/>
                      <a:ext cx="4143375" cy="2209800"/>
                    </a:xfrm>
                    <a:prstGeom prst="rect">
                      <a:avLst/>
                    </a:prstGeom>
                    <a:ln/>
                  </pic:spPr>
                </pic:pic>
              </a:graphicData>
            </a:graphic>
          </wp:inline>
        </w:drawing>
      </w:r>
    </w:p>
    <w:p w14:paraId="4C8682B5" w14:textId="77777777" w:rsidR="008566CA" w:rsidRDefault="008566CA" w:rsidP="00E811A4">
      <w:pPr>
        <w:pStyle w:val="Heading1"/>
        <w:sectPr w:rsidR="008566CA" w:rsidSect="00B54A3D">
          <w:headerReference w:type="even" r:id="rId37"/>
          <w:headerReference w:type="default" r:id="rId38"/>
          <w:footerReference w:type="default" r:id="rId39"/>
          <w:headerReference w:type="first" r:id="rId40"/>
          <w:pgSz w:w="11907" w:h="16839" w:code="9"/>
          <w:pgMar w:top="720" w:right="720" w:bottom="720" w:left="720" w:header="708" w:footer="708" w:gutter="0"/>
          <w:cols w:space="708"/>
          <w:docGrid w:linePitch="360"/>
        </w:sectPr>
      </w:pPr>
    </w:p>
    <w:p w14:paraId="5F513803" w14:textId="77777777" w:rsidR="009B16FB" w:rsidRPr="0057036B" w:rsidRDefault="009B16FB" w:rsidP="00E811A4">
      <w:pPr>
        <w:pStyle w:val="Heading1"/>
      </w:pPr>
      <w:r>
        <w:lastRenderedPageBreak/>
        <w:t>5</w:t>
      </w:r>
      <w:r w:rsidRPr="0057036B">
        <w:t>.</w:t>
      </w:r>
      <w:r>
        <w:t xml:space="preserve"> </w:t>
      </w:r>
      <w:r w:rsidRPr="0057036B">
        <w:t>Designated and developing WMO Regional Climate Centres and Regional Climate Centre Networks</w:t>
      </w:r>
    </w:p>
    <w:p w14:paraId="49DEB843" w14:textId="77777777" w:rsidR="009B16FB" w:rsidRPr="00E811A4" w:rsidRDefault="009B16FB" w:rsidP="00E811A4">
      <w:pPr>
        <w:pStyle w:val="ListParagraph"/>
        <w:numPr>
          <w:ilvl w:val="0"/>
          <w:numId w:val="7"/>
        </w:numPr>
        <w:rPr>
          <w:color w:val="000000"/>
          <w:szCs w:val="22"/>
        </w:rPr>
      </w:pPr>
      <w:r w:rsidRPr="00E811A4">
        <w:rPr>
          <w:rFonts w:ascii="Calibri" w:eastAsia="Calibri" w:hAnsi="Calibri" w:cs="Calibri"/>
          <w:color w:val="000000"/>
          <w:szCs w:val="22"/>
        </w:rPr>
        <w:t xml:space="preserve">RA I: </w:t>
      </w:r>
      <w:r w:rsidR="008566CA">
        <w:rPr>
          <w:rFonts w:ascii="Calibri" w:eastAsia="Calibri" w:hAnsi="Calibri" w:cs="Calibri"/>
          <w:color w:val="000000"/>
          <w:szCs w:val="22"/>
        </w:rPr>
        <w:tab/>
      </w:r>
      <w:hyperlink r:id="rId41" w:history="1">
        <w:r w:rsidR="005F745B" w:rsidRPr="00257952">
          <w:rPr>
            <w:rStyle w:val="Hyperlink"/>
            <w:rFonts w:ascii="Calibri" w:eastAsia="Calibri" w:hAnsi="Calibri" w:cs="Calibri"/>
            <w:szCs w:val="22"/>
          </w:rPr>
          <w:t>http://www.wmo.int/pages/prog/wcp/wcasp/RCC-Africa.html</w:t>
        </w:r>
      </w:hyperlink>
      <w:r w:rsidR="005F745B">
        <w:rPr>
          <w:rFonts w:ascii="Calibri" w:eastAsia="Calibri" w:hAnsi="Calibri" w:cs="Calibri"/>
          <w:color w:val="005BAA"/>
          <w:szCs w:val="22"/>
          <w:u w:val="single"/>
        </w:rPr>
        <w:t xml:space="preserve">  </w:t>
      </w:r>
    </w:p>
    <w:p w14:paraId="004FAEC5"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II: </w:t>
      </w:r>
      <w:r w:rsidR="008566CA">
        <w:rPr>
          <w:rFonts w:ascii="Calibri" w:eastAsia="Calibri" w:hAnsi="Calibri" w:cs="Calibri"/>
          <w:color w:val="000000"/>
          <w:szCs w:val="22"/>
          <w:lang w:val="fr-CH"/>
        </w:rPr>
        <w:tab/>
      </w:r>
      <w:hyperlink r:id="rId42" w:history="1">
        <w:r w:rsidR="005F745B" w:rsidRPr="00257952">
          <w:rPr>
            <w:rStyle w:val="Hyperlink"/>
            <w:rFonts w:ascii="Calibri" w:eastAsia="Calibri" w:hAnsi="Calibri" w:cs="Calibri"/>
            <w:szCs w:val="22"/>
            <w:lang w:val="fr-CH"/>
          </w:rPr>
          <w:t>http://www.wmo.int/pages/prog/wcp/wcasp/RCC-Asia.html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0BF07989"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III: </w:t>
      </w:r>
      <w:r w:rsidR="008566CA">
        <w:rPr>
          <w:rFonts w:ascii="Calibri" w:eastAsia="Calibri" w:hAnsi="Calibri" w:cs="Calibri"/>
          <w:color w:val="000000"/>
          <w:szCs w:val="22"/>
          <w:lang w:val="fr-CH"/>
        </w:rPr>
        <w:tab/>
      </w:r>
      <w:hyperlink r:id="rId43" w:history="1">
        <w:r w:rsidR="005F745B" w:rsidRPr="00257952">
          <w:rPr>
            <w:rStyle w:val="Hyperlink"/>
            <w:rFonts w:ascii="Calibri" w:eastAsia="Calibri" w:hAnsi="Calibri" w:cs="Calibri"/>
            <w:szCs w:val="22"/>
            <w:lang w:val="fr-CH"/>
          </w:rPr>
          <w:t>http://www.wmo.int/pages/prog/wcp/wcasp/RCC-SouthAmerica.html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23733891"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IV: </w:t>
      </w:r>
      <w:r w:rsidR="008566CA">
        <w:rPr>
          <w:rFonts w:ascii="Calibri" w:eastAsia="Calibri" w:hAnsi="Calibri" w:cs="Calibri"/>
          <w:color w:val="000000"/>
          <w:szCs w:val="22"/>
          <w:lang w:val="fr-CH"/>
        </w:rPr>
        <w:tab/>
      </w:r>
      <w:hyperlink r:id="rId44" w:history="1">
        <w:r w:rsidR="005F745B" w:rsidRPr="00257952">
          <w:rPr>
            <w:rStyle w:val="Hyperlink"/>
            <w:rFonts w:ascii="Calibri" w:eastAsia="Calibri" w:hAnsi="Calibri" w:cs="Calibri"/>
            <w:szCs w:val="22"/>
            <w:lang w:val="fr-CH"/>
          </w:rPr>
          <w:t>http://www.wmo.int/pages/prog/wcp/wcasp/RCC-NorthAmerica.html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164DD295"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V: </w:t>
      </w:r>
      <w:r w:rsidR="008566CA">
        <w:rPr>
          <w:rFonts w:ascii="Calibri" w:eastAsia="Calibri" w:hAnsi="Calibri" w:cs="Calibri"/>
          <w:color w:val="000000"/>
          <w:szCs w:val="22"/>
          <w:lang w:val="fr-CH"/>
        </w:rPr>
        <w:tab/>
      </w:r>
      <w:hyperlink r:id="rId45" w:history="1">
        <w:r w:rsidR="005F745B" w:rsidRPr="00257952">
          <w:rPr>
            <w:rStyle w:val="Hyperlink"/>
            <w:rFonts w:ascii="Calibri" w:eastAsia="Calibri" w:hAnsi="Calibri" w:cs="Calibri"/>
            <w:szCs w:val="22"/>
            <w:lang w:val="fr-CH"/>
          </w:rPr>
          <w:t>http://www.wmo.int/pages/prog/wcp/wcasp/RCC-SouthwestPacific.html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42946666" w14:textId="77777777" w:rsidR="009B16FB" w:rsidRPr="00E811A4" w:rsidRDefault="009B16FB" w:rsidP="00E811A4">
      <w:pPr>
        <w:pStyle w:val="ListParagraph"/>
        <w:numPr>
          <w:ilvl w:val="0"/>
          <w:numId w:val="7"/>
        </w:numPr>
        <w:rPr>
          <w:color w:val="000000"/>
          <w:lang w:val="fr-CH"/>
        </w:rPr>
      </w:pPr>
      <w:r w:rsidRPr="00E811A4">
        <w:rPr>
          <w:rFonts w:ascii="Calibri" w:eastAsia="Calibri" w:hAnsi="Calibri" w:cs="Calibri"/>
          <w:color w:val="000000"/>
          <w:szCs w:val="22"/>
          <w:lang w:val="fr-CH"/>
        </w:rPr>
        <w:t xml:space="preserve">RA VI: </w:t>
      </w:r>
      <w:r w:rsidR="008566CA">
        <w:rPr>
          <w:rFonts w:ascii="Calibri" w:eastAsia="Calibri" w:hAnsi="Calibri" w:cs="Calibri"/>
          <w:color w:val="000000"/>
          <w:szCs w:val="22"/>
          <w:lang w:val="fr-CH"/>
        </w:rPr>
        <w:tab/>
      </w:r>
      <w:hyperlink r:id="rId46" w:history="1">
        <w:r w:rsidR="005F745B" w:rsidRPr="00257952">
          <w:rPr>
            <w:rStyle w:val="Hyperlink"/>
            <w:rFonts w:ascii="Calibri" w:eastAsia="Calibri" w:hAnsi="Calibri" w:cs="Calibri"/>
            <w:szCs w:val="22"/>
            <w:lang w:val="fr-CH"/>
          </w:rPr>
          <w:t>http://www.wmo.int/pages/prog/wcp/wcasp/RCC-Europe.html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00"/>
          <w:lang w:val="fr-CH"/>
        </w:rPr>
        <w:t xml:space="preserve"> </w:t>
      </w:r>
    </w:p>
    <w:p w14:paraId="52292517" w14:textId="77777777" w:rsidR="008566CA" w:rsidRPr="001A2E5D" w:rsidRDefault="008566CA" w:rsidP="00E811A4">
      <w:pPr>
        <w:pStyle w:val="Heading1"/>
        <w:rPr>
          <w:lang w:val="fr-CH"/>
        </w:rPr>
      </w:pPr>
    </w:p>
    <w:p w14:paraId="0F80D733" w14:textId="77777777" w:rsidR="009B16FB" w:rsidRPr="0057036B" w:rsidRDefault="009B16FB" w:rsidP="00E811A4">
      <w:pPr>
        <w:pStyle w:val="Heading1"/>
      </w:pPr>
      <w:r>
        <w:t>6</w:t>
      </w:r>
      <w:r w:rsidRPr="0057036B">
        <w:t>. Resources</w:t>
      </w:r>
    </w:p>
    <w:p w14:paraId="5CCC6BF5" w14:textId="77777777" w:rsidR="009B16FB" w:rsidRPr="00864739" w:rsidRDefault="009B16FB" w:rsidP="00E811A4">
      <w:r w:rsidRPr="00864739">
        <w:t>Sources for the graphics used in the GSCU:</w:t>
      </w:r>
    </w:p>
    <w:p w14:paraId="29568B32" w14:textId="77777777" w:rsidR="009B16FB" w:rsidRPr="008566CA" w:rsidRDefault="009B16FB" w:rsidP="0000028F">
      <w:pPr>
        <w:pStyle w:val="ListParagraph"/>
        <w:numPr>
          <w:ilvl w:val="0"/>
          <w:numId w:val="6"/>
        </w:numPr>
        <w:ind w:left="709"/>
        <w:jc w:val="left"/>
        <w:rPr>
          <w:color w:val="005BAA"/>
        </w:rPr>
      </w:pPr>
      <w:r w:rsidRPr="00864739">
        <w:t xml:space="preserve">The WMO Lead Centre for Long-Range Forecast Multi-Model Ensemble (LC-LRFMME): </w:t>
      </w:r>
      <w:hyperlink r:id="rId47">
        <w:r w:rsidRPr="008566CA">
          <w:rPr>
            <w:color w:val="005BAA"/>
            <w:u w:val="single"/>
          </w:rPr>
          <w:t>http://www.wmolc.org</w:t>
        </w:r>
      </w:hyperlink>
      <w:r w:rsidRPr="008566CA">
        <w:rPr>
          <w:color w:val="005BAA"/>
        </w:rPr>
        <w:t xml:space="preserve"> </w:t>
      </w:r>
    </w:p>
    <w:p w14:paraId="7826B3EF" w14:textId="77777777" w:rsidR="009B16FB" w:rsidRPr="00864739" w:rsidRDefault="009B16FB" w:rsidP="008566CA">
      <w:pPr>
        <w:pStyle w:val="ListParagraph"/>
        <w:numPr>
          <w:ilvl w:val="0"/>
          <w:numId w:val="6"/>
        </w:numPr>
        <w:ind w:left="709"/>
        <w:jc w:val="left"/>
      </w:pPr>
      <w:r w:rsidRPr="00E811A4">
        <w:rPr>
          <w:color w:val="000000"/>
        </w:rPr>
        <w:t xml:space="preserve">WMO portal to the Global Producing Centres for Long-range Forecasts (GPCs-LRF): </w:t>
      </w:r>
      <w:hyperlink r:id="rId48">
        <w:r w:rsidRPr="008566CA">
          <w:rPr>
            <w:color w:val="005BAA"/>
            <w:u w:val="single"/>
          </w:rPr>
          <w:t>http://www.wmo.int/pages/prog/wcp/wcasp/clips/producers_forecasts.html</w:t>
        </w:r>
      </w:hyperlink>
      <w:r w:rsidRPr="00E811A4">
        <w:rPr>
          <w:color w:val="000000"/>
        </w:rPr>
        <w:t xml:space="preserve"> </w:t>
      </w:r>
    </w:p>
    <w:p w14:paraId="7FD1CF8E" w14:textId="77777777" w:rsidR="009B16FB" w:rsidRPr="008566CA" w:rsidRDefault="009B16FB" w:rsidP="008566CA">
      <w:pPr>
        <w:pStyle w:val="ListParagraph"/>
        <w:numPr>
          <w:ilvl w:val="0"/>
          <w:numId w:val="6"/>
        </w:numPr>
        <w:ind w:left="709"/>
        <w:jc w:val="left"/>
      </w:pPr>
      <w:r w:rsidRPr="00864739">
        <w:t xml:space="preserve">WMO </w:t>
      </w:r>
      <w:r>
        <w:t xml:space="preserve">GSCU </w:t>
      </w:r>
      <w:r w:rsidRPr="00864739">
        <w:t>portal</w:t>
      </w:r>
      <w:r w:rsidR="008566CA">
        <w:br/>
      </w:r>
      <w:hyperlink r:id="rId49" w:history="1">
        <w:r w:rsidRPr="008566CA">
          <w:rPr>
            <w:rStyle w:val="Hyperlink"/>
            <w:rFonts w:ascii="Calibri" w:eastAsia="Calibri" w:hAnsi="Calibri" w:cs="Calibri"/>
            <w:color w:val="005BAA"/>
            <w:szCs w:val="22"/>
          </w:rPr>
          <w:t>http://www.wmo.int/pages/prog/wcp/wcasp/LC-LRFMME/index.php</w:t>
        </w:r>
        <w:r w:rsidRPr="008566CA">
          <w:rPr>
            <w:rStyle w:val="Hyperlink"/>
            <w:rFonts w:ascii="Calibri" w:eastAsia="Calibri" w:hAnsi="Calibri" w:cs="Calibri"/>
            <w:szCs w:val="22"/>
          </w:rPr>
          <w:t xml:space="preserve"> </w:t>
        </w:r>
      </w:hyperlink>
      <w:r w:rsidRPr="008566CA">
        <w:rPr>
          <w:rFonts w:ascii="Calibri" w:eastAsia="Calibri" w:hAnsi="Calibri" w:cs="Calibri"/>
          <w:color w:val="000000"/>
          <w:szCs w:val="22"/>
        </w:rPr>
        <w:t xml:space="preserve"> </w:t>
      </w:r>
    </w:p>
    <w:p w14:paraId="2F1484FB" w14:textId="77777777" w:rsidR="009B16FB" w:rsidRPr="008566CA" w:rsidRDefault="009B16FB" w:rsidP="0000028F">
      <w:pPr>
        <w:pStyle w:val="ListParagraph"/>
        <w:numPr>
          <w:ilvl w:val="0"/>
          <w:numId w:val="6"/>
        </w:numPr>
        <w:ind w:left="709"/>
        <w:jc w:val="left"/>
      </w:pPr>
      <w:r w:rsidRPr="00864739">
        <w:t xml:space="preserve">WMO </w:t>
      </w:r>
      <w:r w:rsidR="00E537B8">
        <w:t>p</w:t>
      </w:r>
      <w:r w:rsidRPr="00864739">
        <w:t xml:space="preserve">ortal for Regional Climate Outlook Forums (RCOFs): </w:t>
      </w:r>
      <w:r w:rsidR="008566CA">
        <w:br/>
      </w:r>
      <w:hyperlink r:id="rId50" w:history="1">
        <w:r w:rsidRPr="008566CA">
          <w:rPr>
            <w:rStyle w:val="Hyperlink"/>
            <w:rFonts w:ascii="Calibri" w:eastAsia="Calibri" w:hAnsi="Calibri" w:cs="Calibri"/>
            <w:color w:val="005BAA"/>
            <w:szCs w:val="22"/>
          </w:rPr>
          <w:t>https://public.wmo.int/en/our-mandate/climate/regional-climate-outlook-products</w:t>
        </w:r>
      </w:hyperlink>
      <w:r w:rsidRPr="008566CA">
        <w:rPr>
          <w:rFonts w:ascii="Calibri" w:eastAsia="Calibri" w:hAnsi="Calibri" w:cs="Calibri"/>
          <w:color w:val="000000"/>
          <w:szCs w:val="22"/>
        </w:rPr>
        <w:t xml:space="preserve">   </w:t>
      </w:r>
    </w:p>
    <w:p w14:paraId="413E578B" w14:textId="77777777" w:rsidR="009B16FB" w:rsidRPr="00864739" w:rsidRDefault="009B16FB" w:rsidP="008566CA">
      <w:pPr>
        <w:pStyle w:val="ListParagraph"/>
        <w:numPr>
          <w:ilvl w:val="0"/>
          <w:numId w:val="6"/>
        </w:numPr>
        <w:ind w:left="709"/>
        <w:jc w:val="left"/>
      </w:pPr>
      <w:r w:rsidRPr="00E811A4">
        <w:rPr>
          <w:color w:val="000000"/>
        </w:rPr>
        <w:t xml:space="preserve">International Research Institute for Climate and Society (IRI): </w:t>
      </w:r>
      <w:r w:rsidR="008566CA">
        <w:rPr>
          <w:color w:val="000000"/>
        </w:rPr>
        <w:br/>
      </w:r>
      <w:hyperlink r:id="rId51">
        <w:r w:rsidRPr="008566CA">
          <w:rPr>
            <w:color w:val="005BAA"/>
            <w:u w:val="single"/>
          </w:rPr>
          <w:t>http://portal.iri.columbia.edu/portal/server.pt</w:t>
        </w:r>
      </w:hyperlink>
      <w:r w:rsidRPr="00E811A4">
        <w:rPr>
          <w:color w:val="000000"/>
        </w:rPr>
        <w:t xml:space="preserve">  </w:t>
      </w:r>
    </w:p>
    <w:p w14:paraId="0FB1387B" w14:textId="77777777" w:rsidR="009B16FB" w:rsidRPr="00864739" w:rsidRDefault="009B16FB" w:rsidP="008566CA">
      <w:pPr>
        <w:pStyle w:val="ListParagraph"/>
        <w:numPr>
          <w:ilvl w:val="0"/>
          <w:numId w:val="6"/>
        </w:numPr>
        <w:ind w:left="709"/>
        <w:jc w:val="left"/>
      </w:pPr>
      <w:r w:rsidRPr="00E811A4">
        <w:rPr>
          <w:color w:val="000000"/>
        </w:rPr>
        <w:t xml:space="preserve">NOAA Climate Prediction Centre (CPC): </w:t>
      </w:r>
      <w:r w:rsidR="008566CA">
        <w:rPr>
          <w:color w:val="000000"/>
        </w:rPr>
        <w:br/>
      </w:r>
      <w:r w:rsidR="008566CA" w:rsidRPr="008566CA">
        <w:rPr>
          <w:color w:val="005BAA"/>
          <w:u w:val="single"/>
        </w:rPr>
        <w:t>http://www.cpc.noaa.gov</w:t>
      </w:r>
      <w:r w:rsidRPr="00E811A4">
        <w:rPr>
          <w:color w:val="000000"/>
        </w:rPr>
        <w:t xml:space="preserve">   </w:t>
      </w:r>
    </w:p>
    <w:p w14:paraId="04728E01" w14:textId="77777777" w:rsidR="009B16FB" w:rsidRPr="0057036B" w:rsidRDefault="009B16FB" w:rsidP="00E811A4"/>
    <w:p w14:paraId="39BE5CA8" w14:textId="77777777" w:rsidR="009B16FB" w:rsidRDefault="009B16FB" w:rsidP="008566CA">
      <w:pPr>
        <w:pStyle w:val="Heading1"/>
      </w:pPr>
      <w:r>
        <w:t>7</w:t>
      </w:r>
      <w:r w:rsidRPr="0057036B">
        <w:t>. Acknowledgements</w:t>
      </w:r>
    </w:p>
    <w:p w14:paraId="56F57DE2" w14:textId="77777777" w:rsidR="009B16FB" w:rsidRPr="00864739" w:rsidRDefault="009B16FB" w:rsidP="00BC5AD5">
      <w:pPr>
        <w:rPr>
          <w:rFonts w:ascii="Malgun Gothic" w:eastAsia="Malgun Gothic" w:hAnsi="Malgun Gothic" w:cs="Malgun Gothic"/>
          <w:b/>
          <w:color w:val="366091"/>
        </w:rPr>
      </w:pPr>
      <w:r w:rsidRPr="00864739">
        <w:t xml:space="preserve">This Global Seasonal Climate Update </w:t>
      </w:r>
      <w:r w:rsidR="00BC5AD5" w:rsidRPr="00BC5AD5">
        <w:t>was jointly developed by the WMO Commission for Climatology and Commission for Basic Systems</w:t>
      </w:r>
      <w:r w:rsidRPr="00864739">
        <w:t xml:space="preserve"> with contributions from:</w:t>
      </w:r>
    </w:p>
    <w:p w14:paraId="22EB33AD" w14:textId="77777777" w:rsidR="009B16FB" w:rsidRPr="00864739" w:rsidRDefault="009B16FB" w:rsidP="008566CA">
      <w:pPr>
        <w:pStyle w:val="ListParagraph"/>
        <w:numPr>
          <w:ilvl w:val="0"/>
          <w:numId w:val="6"/>
        </w:numPr>
        <w:ind w:left="709"/>
      </w:pPr>
      <w:r w:rsidRPr="00864739">
        <w:t>WMO Lead Centr</w:t>
      </w:r>
      <w:r w:rsidR="00B0618B">
        <w:t>e</w:t>
      </w:r>
      <w:r w:rsidRPr="00864739">
        <w:t xml:space="preserve"> for Long-Range Forecast Multi-Model Ensemble (LC-LRFMME), Korea Meteorological Administration</w:t>
      </w:r>
      <w:r w:rsidR="008566CA">
        <w:t>,</w:t>
      </w:r>
      <w:r w:rsidRPr="00864739">
        <w:t xml:space="preserve"> NOAA National Cente</w:t>
      </w:r>
      <w:r w:rsidR="008566CA">
        <w:t>rs for Environmental Prediction</w:t>
      </w:r>
    </w:p>
    <w:p w14:paraId="342A2EE4" w14:textId="21E8D1A2" w:rsidR="009B16FB" w:rsidRPr="00864739" w:rsidRDefault="0000028F" w:rsidP="008566CA">
      <w:pPr>
        <w:pStyle w:val="ListParagraph"/>
        <w:numPr>
          <w:ilvl w:val="0"/>
          <w:numId w:val="6"/>
        </w:numPr>
        <w:ind w:left="709"/>
        <w:jc w:val="left"/>
      </w:pPr>
      <w:r w:rsidRPr="00E233B8">
        <w:t>WMO Global Producing Centres for Long-Range Forecast (GPCs-LRF)</w:t>
      </w:r>
      <w:r w:rsidR="009B16FB" w:rsidRPr="00864739">
        <w:t>: GPC-Beijing (China Meteorological Administration), GPC-CPTEC (Center for Weather and Climate Studies, Brazil), GPC-ECMWF (European Center for Medium-Range Forecast), GPC-Exeter (UK Met Office),GPC- Melbourne (Bureau of Meteorology), GPC-Montreal (Meteorological Services of Canada), GPC-Moscow (Hydro meteorological Center of Russia), GPC-Offenbach Deutscher Wetterdienst), GPC-Pretoria (South African Weather Services), GPC-Seoul (Korea Meteorological Administration), GPC-Tokyo (Japan Meteorological A</w:t>
      </w:r>
      <w:r w:rsidR="00E27C6C">
        <w:t>gency</w:t>
      </w:r>
      <w:r w:rsidR="009B16FB" w:rsidRPr="00864739">
        <w:t xml:space="preserve">), GPC-Toulouse (Météo-France), GPC-Washington (National Centers for Environmental Prediction)  </w:t>
      </w:r>
      <w:r w:rsidR="00B0618B">
        <w:t xml:space="preserve"> </w:t>
      </w:r>
    </w:p>
    <w:p w14:paraId="5155BFC3" w14:textId="77777777" w:rsidR="009B16FB" w:rsidRPr="00864739" w:rsidRDefault="009B16FB" w:rsidP="008566CA">
      <w:pPr>
        <w:pStyle w:val="ListParagraph"/>
        <w:numPr>
          <w:ilvl w:val="0"/>
          <w:numId w:val="6"/>
        </w:numPr>
        <w:ind w:left="709"/>
      </w:pPr>
      <w:bookmarkStart w:id="1" w:name="_gjdgxs" w:colFirst="0" w:colLast="0"/>
      <w:bookmarkEnd w:id="1"/>
      <w:r w:rsidRPr="00864739">
        <w:t xml:space="preserve">International Research Institute for Climate </w:t>
      </w:r>
      <w:r w:rsidR="008566CA">
        <w:t>and Society (IRI)</w:t>
      </w:r>
    </w:p>
    <w:p w14:paraId="61AA7AFF" w14:textId="77777777" w:rsidR="00B54A3D" w:rsidRPr="009B16FB" w:rsidRDefault="00B54A3D" w:rsidP="00E811A4">
      <w:pPr>
        <w:pStyle w:val="Heading1"/>
      </w:pPr>
    </w:p>
    <w:sectPr w:rsidR="00B54A3D" w:rsidRPr="009B16FB" w:rsidSect="00B54A3D">
      <w:headerReference w:type="even" r:id="rId52"/>
      <w:headerReference w:type="default" r:id="rId53"/>
      <w:headerReference w:type="first" r:id="rId54"/>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4BF5A1" w14:textId="77777777" w:rsidR="00D942AF" w:rsidRDefault="00D942AF" w:rsidP="00E811A4">
      <w:r>
        <w:separator/>
      </w:r>
    </w:p>
  </w:endnote>
  <w:endnote w:type="continuationSeparator" w:id="0">
    <w:p w14:paraId="178877FC" w14:textId="77777777" w:rsidR="00D942AF" w:rsidRDefault="00D942AF" w:rsidP="00E8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nivers LT CYR 55">
    <w:altName w:val="Trebuchet MS"/>
    <w:panose1 w:val="00000000000000000000"/>
    <w:charset w:val="00"/>
    <w:family w:val="swiss"/>
    <w:notTrueType/>
    <w:pitch w:val="variable"/>
    <w:sig w:usb0="A000022F" w:usb1="5000205B" w:usb2="00000000" w:usb3="00000000" w:csb0="00000097" w:csb1="00000000"/>
  </w:font>
  <w:font w:name="Univers LT CYR 45 Light">
    <w:altName w:val="Corbel"/>
    <w:panose1 w:val="00000000000000000000"/>
    <w:charset w:val="00"/>
    <w:family w:val="swiss"/>
    <w:notTrueType/>
    <w:pitch w:val="variable"/>
    <w:sig w:usb0="A000022F" w:usb1="5000205B" w:usb2="00000000" w:usb3="00000000" w:csb0="00000097"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F Bague Sans Pro">
    <w:altName w:val="Arial"/>
    <w:panose1 w:val="00000000000000000000"/>
    <w:charset w:val="00"/>
    <w:family w:val="modern"/>
    <w:notTrueType/>
    <w:pitch w:val="variable"/>
    <w:sig w:usb0="00000001" w:usb1="5000205B"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807193"/>
      <w:docPartObj>
        <w:docPartGallery w:val="Page Numbers (Bottom of Page)"/>
        <w:docPartUnique/>
      </w:docPartObj>
    </w:sdtPr>
    <w:sdtEndPr>
      <w:rPr>
        <w:noProof/>
      </w:rPr>
    </w:sdtEndPr>
    <w:sdtContent>
      <w:p w14:paraId="7F203635" w14:textId="7162F955" w:rsidR="00FA5A51" w:rsidRDefault="00FA5A51">
        <w:pPr>
          <w:pStyle w:val="Footer"/>
          <w:jc w:val="right"/>
        </w:pPr>
        <w:r>
          <w:fldChar w:fldCharType="begin"/>
        </w:r>
        <w:r>
          <w:instrText xml:space="preserve"> PAGE   \* MERGEFORMAT </w:instrText>
        </w:r>
        <w:r>
          <w:fldChar w:fldCharType="separate"/>
        </w:r>
        <w:r w:rsidR="00D850A7">
          <w:rPr>
            <w:noProof/>
          </w:rPr>
          <w:t>1</w:t>
        </w:r>
        <w:r>
          <w:rPr>
            <w:noProof/>
          </w:rPr>
          <w:fldChar w:fldCharType="end"/>
        </w:r>
      </w:p>
    </w:sdtContent>
  </w:sdt>
  <w:p w14:paraId="79DA2B82" w14:textId="77777777" w:rsidR="00FA5A51" w:rsidRDefault="00FA5A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23571" w14:textId="77777777" w:rsidR="00D942AF" w:rsidRDefault="00D942AF" w:rsidP="00E811A4">
      <w:r>
        <w:separator/>
      </w:r>
    </w:p>
  </w:footnote>
  <w:footnote w:type="continuationSeparator" w:id="0">
    <w:p w14:paraId="090F3D6C" w14:textId="77777777" w:rsidR="00D942AF" w:rsidRDefault="00D942AF" w:rsidP="00E811A4">
      <w:r>
        <w:continuationSeparator/>
      </w:r>
    </w:p>
  </w:footnote>
  <w:footnote w:id="1">
    <w:p w14:paraId="03D5286C" w14:textId="563BB592" w:rsidR="00FA5A51" w:rsidRDefault="00FA5A51">
      <w:pPr>
        <w:pStyle w:val="FootnoteText"/>
      </w:pPr>
      <w:r>
        <w:rPr>
          <w:rStyle w:val="FootnoteReference"/>
        </w:rPr>
        <w:footnoteRef/>
      </w:r>
      <w:r>
        <w:t xml:space="preserve"> File with supplementary information can be downloaded from </w:t>
      </w:r>
      <w:hyperlink r:id="rId1" w:history="1">
        <w:r w:rsidRPr="005F6DF1">
          <w:rPr>
            <w:rStyle w:val="Hyperlink"/>
          </w:rPr>
          <w:t>https://ftp.cpc.ncep.noaa.gov/mingyue/GSCUWMO/Supplementary/GSCU_</w:t>
        </w:r>
        <w:r w:rsidRPr="00BA4F71">
          <w:rPr>
            <w:rStyle w:val="Hyperlink"/>
          </w:rPr>
          <w:t>MAM2020_supplementary_info_LC-LRFMME.docx</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0A6F8" w14:textId="77777777" w:rsidR="00FA5A51" w:rsidRDefault="00D942AF">
    <w:pPr>
      <w:pStyle w:val="Header"/>
    </w:pPr>
    <w:r>
      <w:rPr>
        <w:noProof/>
      </w:rPr>
      <w:pict w14:anchorId="23A90CEE">
        <v:shapetype id="_x0000_m22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761D4C3">
        <v:shape id="_x0000_s2121" type="#_x0000_m2203" style="position:absolute;left:0;text-align:left;margin-left:0;margin-top:0;width:595.3pt;height:550pt;z-index:-2516398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3F244F8" w14:textId="77777777" w:rsidR="00FA5A51" w:rsidRDefault="00FA5A51"/>
  <w:p w14:paraId="604CC5DE" w14:textId="77777777" w:rsidR="00FA5A51" w:rsidRDefault="00D942AF">
    <w:pPr>
      <w:pStyle w:val="Header"/>
    </w:pPr>
    <w:r>
      <w:rPr>
        <w:noProof/>
      </w:rPr>
      <w:pict w14:anchorId="6F2C0F8F">
        <v:shapetype id="_x0000_m220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85DCF2C">
        <v:shape id="_x0000_s2125" type="#_x0000_m2202" style="position:absolute;left:0;text-align:left;margin-left:0;margin-top:0;width:595.3pt;height:550pt;z-index:-2516418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C4FC570" w14:textId="77777777" w:rsidR="00FA5A51" w:rsidRDefault="00FA5A51"/>
  <w:p w14:paraId="1B565A31" w14:textId="77777777" w:rsidR="00FA5A51" w:rsidRDefault="00D942AF">
    <w:pPr>
      <w:pStyle w:val="Header"/>
    </w:pPr>
    <w:r>
      <w:rPr>
        <w:noProof/>
      </w:rPr>
      <w:pict w14:anchorId="11E185F5">
        <v:shapetype id="_x0000_m22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3DCB99C">
        <v:shape id="_x0000_s2129" type="#_x0000_m2201" style="position:absolute;left:0;text-align:left;margin-left:0;margin-top:0;width:595.3pt;height:550pt;z-index:-2516439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ACED10E" w14:textId="77777777" w:rsidR="00FA5A51" w:rsidRDefault="00FA5A51"/>
  <w:p w14:paraId="4B36FC53" w14:textId="77777777" w:rsidR="00FA5A51" w:rsidRDefault="00D942AF">
    <w:pPr>
      <w:pStyle w:val="Header"/>
    </w:pPr>
    <w:r>
      <w:rPr>
        <w:noProof/>
      </w:rPr>
      <w:pict w14:anchorId="15C95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6" type="#_x0000_t75" style="position:absolute;left:0;text-align:left;margin-left:0;margin-top:0;width:50pt;height:50pt;z-index:251651072;visibility:hidden">
          <v:path gradientshapeok="f"/>
          <o:lock v:ext="edit" selection="t"/>
        </v:shape>
      </w:pict>
    </w:r>
    <w:r>
      <w:pict w14:anchorId="6772382E">
        <v:shapetype id="_x0000_m220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3E227EF">
        <v:shape id="_x0000_s2144" type="#_x0000_m2200" style="position:absolute;left:0;text-align:left;margin-left:0;margin-top:0;width:595.3pt;height:550pt;z-index:-2516469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77AC7C2" w14:textId="77777777" w:rsidR="00FA5A51" w:rsidRDefault="00FA5A51"/>
  <w:p w14:paraId="5C4E1B84" w14:textId="77777777" w:rsidR="00FA5A51" w:rsidRDefault="00D942AF">
    <w:pPr>
      <w:pStyle w:val="Header"/>
    </w:pPr>
    <w:r>
      <w:rPr>
        <w:noProof/>
      </w:rPr>
      <w:pict w14:anchorId="3622D2E4">
        <v:shape id="_x0000_s2080" type="#_x0000_t75" style="position:absolute;left:0;text-align:left;margin-left:0;margin-top:0;width:50pt;height:50pt;z-index:251663360;visibility:hidden">
          <v:path gradientshapeok="f"/>
          <o:lock v:ext="edit" selection="t"/>
        </v:shape>
      </w:pict>
    </w:r>
    <w:r>
      <w:pict w14:anchorId="71015136">
        <v:shape id="_x0000_s2143" type="#_x0000_t75" style="position:absolute;left:0;text-align:left;margin-left:0;margin-top:0;width:50pt;height:50pt;z-index:251652096;visibility:hidden">
          <v:path gradientshapeok="f"/>
          <o:lock v:ext="edit" selectio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8530A" w14:textId="77777777" w:rsidR="00FA5A51" w:rsidRDefault="00D942AF">
    <w:pPr>
      <w:pStyle w:val="Header"/>
    </w:pPr>
    <w:r>
      <w:rPr>
        <w:noProof/>
      </w:rPr>
      <w:pict w14:anchorId="5A958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left:0;text-align:left;margin-left:0;margin-top:0;width:50pt;height:50pt;z-index:251664384;visibility:hidden">
          <v:path gradientshapeok="f"/>
          <o:lock v:ext="edit" selection="t"/>
        </v:shape>
      </w:pict>
    </w:r>
    <w:r>
      <w:pict w14:anchorId="34DEA06B">
        <v:shape id="_x0000_s2142" type="#_x0000_t75" style="position:absolute;left:0;text-align:left;margin-left:0;margin-top:0;width:50pt;height:50pt;z-index:251653120;visibility:hidden">
          <v:path gradientshapeok="f"/>
          <o:lock v:ext="edit" selection="t"/>
        </v:shape>
      </w:pict>
    </w:r>
    <w:r>
      <w:pict w14:anchorId="5BBD03D5">
        <v:shape id="_x0000_s2141" type="#_x0000_t75" style="position:absolute;left:0;text-align:left;margin-left:0;margin-top:0;width:50pt;height:50pt;z-index:251654144;visibility:hidden">
          <v:path gradientshapeok="f"/>
          <o:lock v:ext="edit" selection="t"/>
        </v:shape>
      </w:pict>
    </w:r>
    <w:r>
      <w:pict w14:anchorId="7D48EFD9">
        <v:shape id="_x0000_s2187" type="#_x0000_t75" style="position:absolute;left:0;text-align:left;margin-left:0;margin-top:0;width:50pt;height:50pt;z-index:251646976;visibility:hidden">
          <v:path gradientshapeok="f"/>
          <o:lock v:ext="edit" selection="t"/>
        </v:shape>
      </w:pict>
    </w:r>
    <w:r>
      <w:pict w14:anchorId="72264021">
        <v:shape id="_x0000_s2186" type="#_x0000_t75" style="position:absolute;left:0;text-align:left;margin-left:0;margin-top:0;width:50pt;height:50pt;z-index:251648000;visibility:hidden">
          <v:path gradientshapeok="f"/>
          <o:lock v:ext="edit" selection="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8F0EF" w14:textId="77777777" w:rsidR="00FA5A51" w:rsidRDefault="00D942AF">
    <w:pPr>
      <w:pStyle w:val="Header"/>
    </w:pPr>
    <w:r>
      <w:rPr>
        <w:noProof/>
      </w:rPr>
      <w:pict w14:anchorId="40772C32">
        <v:shapetype id="_x0000_m21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6E75DE5">
        <v:shape id="_x0000_s2123" type="#_x0000_m2199" style="position:absolute;left:0;text-align:left;margin-left:0;margin-top:0;width:595.3pt;height:550pt;z-index:-2516408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03FB0B5" w14:textId="77777777" w:rsidR="00FA5A51" w:rsidRDefault="00FA5A51"/>
  <w:p w14:paraId="266AC5DB" w14:textId="77777777" w:rsidR="00FA5A51" w:rsidRDefault="00D942AF">
    <w:pPr>
      <w:pStyle w:val="Header"/>
    </w:pPr>
    <w:r>
      <w:rPr>
        <w:noProof/>
      </w:rPr>
      <w:pict w14:anchorId="6509EAF6">
        <v:shapetype id="_x0000_m219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887D83A">
        <v:shape id="_x0000_s2127" type="#_x0000_m2198" style="position:absolute;left:0;text-align:left;margin-left:0;margin-top:0;width:595.3pt;height:550pt;z-index:-2516428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9351B94" w14:textId="77777777" w:rsidR="00FA5A51" w:rsidRDefault="00FA5A51"/>
  <w:p w14:paraId="356FEDC2" w14:textId="77777777" w:rsidR="00FA5A51" w:rsidRDefault="00D942AF">
    <w:pPr>
      <w:pStyle w:val="Header"/>
    </w:pPr>
    <w:r>
      <w:rPr>
        <w:noProof/>
      </w:rPr>
      <w:pict w14:anchorId="1E7F0263">
        <v:shapetype id="_x0000_m21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98B573A">
        <v:shape id="_x0000_s2131" type="#_x0000_m2197" style="position:absolute;left:0;text-align:left;margin-left:0;margin-top:0;width:595.3pt;height:550pt;z-index:-2516449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2010205" w14:textId="77777777" w:rsidR="00FA5A51" w:rsidRDefault="00FA5A51"/>
  <w:p w14:paraId="1BB74BCA" w14:textId="77777777" w:rsidR="00FA5A51" w:rsidRDefault="00D942AF">
    <w:pPr>
      <w:pStyle w:val="Header"/>
    </w:pPr>
    <w:r>
      <w:rPr>
        <w:noProof/>
      </w:rPr>
      <w:pict w14:anchorId="419DF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0;text-align:left;margin-left:0;margin-top:0;width:50pt;height:50pt;z-index:251655168;visibility:hidden">
          <v:path gradientshapeok="f"/>
          <o:lock v:ext="edit" selection="t"/>
        </v:shape>
      </w:pict>
    </w:r>
    <w:r>
      <w:pict w14:anchorId="63E320BB">
        <v:shapetype id="_x0000_m219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B6B8A57">
        <v:shape id="_x0000_s2134" type="#_x0000_m2196" style="position:absolute;left:0;text-align:left;margin-left:0;margin-top:0;width:595.3pt;height:550pt;z-index:-2516459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1E35348" w14:textId="77777777" w:rsidR="00FA5A51" w:rsidRDefault="00FA5A51"/>
  <w:p w14:paraId="68FED542" w14:textId="77777777" w:rsidR="00FA5A51" w:rsidRDefault="00D942AF">
    <w:pPr>
      <w:pStyle w:val="Header"/>
    </w:pPr>
    <w:r>
      <w:rPr>
        <w:noProof/>
      </w:rPr>
      <w:pict w14:anchorId="07A6EE5F">
        <v:shape id="_x0000_s2072" type="#_x0000_t75" style="position:absolute;left:0;text-align:left;margin-left:0;margin-top:0;width:50pt;height:50pt;z-index:251665408;visibility:hidden">
          <v:path gradientshapeok="f"/>
          <o:lock v:ext="edit" selection="t"/>
        </v:shape>
      </w:pict>
    </w:r>
    <w:r>
      <w:pict w14:anchorId="2A135FEC">
        <v:shape id="_x0000_s2133" type="#_x0000_t75" style="position:absolute;left:0;text-align:left;margin-left:0;margin-top:0;width:50pt;height:50pt;z-index:251656192;visibility:hidden">
          <v:path gradientshapeok="f"/>
          <o:lock v:ext="edit" selectio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FDD1C" w14:textId="77777777" w:rsidR="00FA5A51" w:rsidRDefault="00D942AF">
    <w:pPr>
      <w:pStyle w:val="Header"/>
    </w:pPr>
    <w:r>
      <w:rPr>
        <w:noProof/>
      </w:rPr>
      <w:pict w14:anchorId="4453970F">
        <v:shapetype id="_x0000_m21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5D6E860">
        <v:shape id="_x0000_s2095" type="#_x0000_m2195" style="position:absolute;left:0;text-align:left;margin-left:0;margin-top:0;width:595.3pt;height:550pt;z-index:-2516316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9C2565B" w14:textId="77777777" w:rsidR="00FA5A51" w:rsidRDefault="00FA5A51"/>
  <w:p w14:paraId="2F77E36F" w14:textId="77777777" w:rsidR="00FA5A51" w:rsidRDefault="00D942AF">
    <w:pPr>
      <w:pStyle w:val="Header"/>
    </w:pPr>
    <w:r>
      <w:rPr>
        <w:noProof/>
      </w:rPr>
      <w:pict w14:anchorId="309D811E">
        <v:shapetype id="_x0000_m21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6F385D">
        <v:shape id="_x0000_s2099" type="#_x0000_m2194" style="position:absolute;left:0;text-align:left;margin-left:0;margin-top:0;width:595.3pt;height:550pt;z-index:-2516336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55CF543" w14:textId="77777777" w:rsidR="00FA5A51" w:rsidRDefault="00FA5A51"/>
  <w:p w14:paraId="7A39E04E" w14:textId="77777777" w:rsidR="00FA5A51" w:rsidRDefault="00D942AF">
    <w:pPr>
      <w:pStyle w:val="Header"/>
    </w:pPr>
    <w:r>
      <w:rPr>
        <w:noProof/>
      </w:rPr>
      <w:pict w14:anchorId="36D200CE">
        <v:shapetype id="_x0000_m21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175C171">
        <v:shape id="_x0000_s2103" type="#_x0000_m2193" style="position:absolute;left:0;text-align:left;margin-left:0;margin-top:0;width:595.3pt;height:550pt;z-index:-2516357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5F0FCB" w14:textId="77777777" w:rsidR="00FA5A51" w:rsidRDefault="00FA5A51"/>
  <w:p w14:paraId="6EED912C" w14:textId="77777777" w:rsidR="00FA5A51" w:rsidRDefault="00D942AF">
    <w:pPr>
      <w:pStyle w:val="Header"/>
    </w:pPr>
    <w:r>
      <w:rPr>
        <w:noProof/>
      </w:rPr>
      <w:pict w14:anchorId="0D8AE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left:0;text-align:left;margin-left:0;margin-top:0;width:50pt;height:50pt;z-index:251657216;visibility:hidden">
          <v:path gradientshapeok="f"/>
          <o:lock v:ext="edit" selection="t"/>
        </v:shape>
      </w:pict>
    </w:r>
    <w:r>
      <w:pict w14:anchorId="24DBAAEA">
        <v:shapetype id="_x0000_m21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A38A6B5">
        <v:shape id="_x0000_s2118" type="#_x0000_m2192" style="position:absolute;left:0;text-align:left;margin-left:0;margin-top:0;width:595.3pt;height:550pt;z-index:-2516387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AE72831" w14:textId="77777777" w:rsidR="00FA5A51" w:rsidRDefault="00FA5A51"/>
  <w:p w14:paraId="00FDA62A" w14:textId="77777777" w:rsidR="00FA5A51" w:rsidRDefault="00D942AF">
    <w:pPr>
      <w:pStyle w:val="Header"/>
    </w:pPr>
    <w:r>
      <w:rPr>
        <w:noProof/>
      </w:rPr>
      <w:pict w14:anchorId="0A601D1D">
        <v:shape id="_x0000_s2065" type="#_x0000_t75" style="position:absolute;left:0;text-align:left;margin-left:0;margin-top:0;width:50pt;height:50pt;z-index:251666432;visibility:hidden">
          <v:path gradientshapeok="f"/>
          <o:lock v:ext="edit" selection="t"/>
        </v:shape>
      </w:pict>
    </w:r>
    <w:r>
      <w:pict w14:anchorId="24498D38">
        <v:shape id="_x0000_s2117" type="#_x0000_t75" style="position:absolute;left:0;text-align:left;margin-left:0;margin-top:0;width:50pt;height:50pt;z-index:251658240;visibility:hidden">
          <v:path gradientshapeok="f"/>
          <o:lock v:ext="edit" selection="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1D712" w14:textId="77777777" w:rsidR="00FA5A51" w:rsidRDefault="00D942AF">
    <w:pPr>
      <w:pStyle w:val="Header"/>
    </w:pPr>
    <w:r>
      <w:rPr>
        <w:noProof/>
      </w:rPr>
      <w:pict w14:anchorId="34BB7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50pt;height:50pt;z-index:251667456;visibility:hidden">
          <v:path gradientshapeok="f"/>
          <o:lock v:ext="edit" selection="t"/>
        </v:shape>
      </w:pict>
    </w:r>
    <w:r>
      <w:pict w14:anchorId="163FBE9A">
        <v:shape id="_x0000_s2116" type="#_x0000_t75" style="position:absolute;left:0;text-align:left;margin-left:0;margin-top:0;width:50pt;height:50pt;z-index:251659264;visibility:hidden">
          <v:path gradientshapeok="f"/>
          <o:lock v:ext="edit" selection="t"/>
        </v:shape>
      </w:pict>
    </w:r>
    <w:r>
      <w:pict w14:anchorId="267FE793">
        <v:shape id="_x0000_s2115" type="#_x0000_t75" style="position:absolute;left:0;text-align:left;margin-left:0;margin-top:0;width:50pt;height:50pt;z-index:251660288;visibility:hidden">
          <v:path gradientshapeok="f"/>
          <o:lock v:ext="edit" selection="t"/>
        </v:shape>
      </w:pict>
    </w:r>
    <w:r>
      <w:pict w14:anchorId="13E3ACC6">
        <v:shape id="_x0000_s2177" type="#_x0000_t75" style="position:absolute;left:0;text-align:left;margin-left:0;margin-top:0;width:50pt;height:50pt;z-index:251649024;visibility:hidden">
          <v:path gradientshapeok="f"/>
          <o:lock v:ext="edit" selection="t"/>
        </v:shape>
      </w:pict>
    </w:r>
    <w:r>
      <w:pict w14:anchorId="2067EE84">
        <v:shape id="_x0000_s2176" type="#_x0000_t75" style="position:absolute;left:0;text-align:left;margin-left:0;margin-top:0;width:50pt;height:50pt;z-index:251650048;visibility:hidden">
          <v:path gradientshapeok="f"/>
          <o:lock v:ext="edit" selection="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859CD" w14:textId="77777777" w:rsidR="00FA5A51" w:rsidRDefault="00D942AF">
    <w:pPr>
      <w:pStyle w:val="Header"/>
    </w:pPr>
    <w:r>
      <w:rPr>
        <w:noProof/>
      </w:rPr>
      <w:pict w14:anchorId="4E35F579">
        <v:shapetype id="_x0000_m21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71713A7">
        <v:shape id="_x0000_s2097" type="#_x0000_m2191" style="position:absolute;left:0;text-align:left;margin-left:0;margin-top:0;width:595.3pt;height:550pt;z-index:-2516326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569CC7E" w14:textId="77777777" w:rsidR="00FA5A51" w:rsidRDefault="00FA5A51"/>
  <w:p w14:paraId="46D6A808" w14:textId="77777777" w:rsidR="00FA5A51" w:rsidRDefault="00D942AF">
    <w:pPr>
      <w:pStyle w:val="Header"/>
    </w:pPr>
    <w:r>
      <w:rPr>
        <w:noProof/>
      </w:rPr>
      <w:pict w14:anchorId="1B59A857">
        <v:shapetype id="_x0000_m21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99BCDB2">
        <v:shape id="_x0000_s2101" type="#_x0000_m2190" style="position:absolute;left:0;text-align:left;margin-left:0;margin-top:0;width:595.3pt;height:550pt;z-index:-2516346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3F925D4" w14:textId="77777777" w:rsidR="00FA5A51" w:rsidRDefault="00FA5A51"/>
  <w:p w14:paraId="782D1792" w14:textId="77777777" w:rsidR="00FA5A51" w:rsidRDefault="00D942AF">
    <w:pPr>
      <w:pStyle w:val="Header"/>
    </w:pPr>
    <w:r>
      <w:rPr>
        <w:noProof/>
      </w:rPr>
      <w:pict w14:anchorId="492F196E">
        <v:shapetype id="_x0000_m21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EF5CCA">
        <v:shape id="_x0000_s2105" type="#_x0000_m2189" style="position:absolute;left:0;text-align:left;margin-left:0;margin-top:0;width:595.3pt;height:550pt;z-index:-2516367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4EE28E8" w14:textId="77777777" w:rsidR="00FA5A51" w:rsidRDefault="00FA5A51"/>
  <w:p w14:paraId="6FA449A2" w14:textId="77777777" w:rsidR="00FA5A51" w:rsidRDefault="00D942AF">
    <w:pPr>
      <w:pStyle w:val="Header"/>
    </w:pPr>
    <w:r>
      <w:rPr>
        <w:noProof/>
      </w:rPr>
      <w:pict w14:anchorId="2FC78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left:0;text-align:left;margin-left:0;margin-top:0;width:50pt;height:50pt;z-index:251661312;visibility:hidden">
          <v:path gradientshapeok="f"/>
          <o:lock v:ext="edit" selection="t"/>
        </v:shape>
      </w:pict>
    </w:r>
    <w:r>
      <w:pict w14:anchorId="142C6748">
        <v:shapetype id="_x0000_m21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682E3B1">
        <v:shape id="_x0000_s2108" type="#_x0000_m2188" style="position:absolute;left:0;text-align:left;margin-left:0;margin-top:0;width:595.3pt;height:550pt;z-index:-2516377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CA9C7B6" w14:textId="77777777" w:rsidR="00FA5A51" w:rsidRDefault="00FA5A51"/>
  <w:p w14:paraId="685F4E55" w14:textId="77777777" w:rsidR="00FA5A51" w:rsidRDefault="00D942AF">
    <w:pPr>
      <w:pStyle w:val="Header"/>
    </w:pPr>
    <w:r>
      <w:rPr>
        <w:noProof/>
      </w:rPr>
      <w:pict w14:anchorId="6665A90F">
        <v:shape id="_x0000_s2057" type="#_x0000_t75" style="position:absolute;left:0;text-align:left;margin-left:0;margin-top:0;width:50pt;height:50pt;z-index:251668480;visibility:hidden">
          <v:path gradientshapeok="f"/>
          <o:lock v:ext="edit" selection="t"/>
        </v:shape>
      </w:pict>
    </w:r>
    <w:r>
      <w:pict w14:anchorId="65138149">
        <v:shape id="_x0000_s2107" type="#_x0000_t75" style="position:absolute;left:0;text-align:left;margin-left:0;margin-top:0;width:50pt;height:50pt;z-index:251662336;visibility:hidden">
          <v:path gradientshapeok="f"/>
          <o:lock v:ext="edit" selectio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76DB"/>
    <w:multiLevelType w:val="hybridMultilevel"/>
    <w:tmpl w:val="05B8D520"/>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D6D7E"/>
    <w:multiLevelType w:val="hybridMultilevel"/>
    <w:tmpl w:val="7F624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A5A23"/>
    <w:multiLevelType w:val="multilevel"/>
    <w:tmpl w:val="8682C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0C83795"/>
    <w:multiLevelType w:val="hybridMultilevel"/>
    <w:tmpl w:val="0C7089F8"/>
    <w:lvl w:ilvl="0" w:tplc="D9CE7612">
      <w:start w:val="1"/>
      <w:numFmt w:val="lowerRoman"/>
      <w:lvlText w:val="%1."/>
      <w:lvlJc w:val="right"/>
      <w:pPr>
        <w:ind w:left="720" w:hanging="360"/>
      </w:pPr>
      <w:rPr>
        <w:rFonts w:hint="default"/>
        <w:color w:val="005B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655F0"/>
    <w:multiLevelType w:val="multilevel"/>
    <w:tmpl w:val="62A8392E"/>
    <w:lvl w:ilvl="0">
      <w:start w:val="1"/>
      <w:numFmt w:val="bullet"/>
      <w:lvlText w:val="●"/>
      <w:lvlJc w:val="left"/>
      <w:pPr>
        <w:ind w:left="36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E86292F"/>
    <w:multiLevelType w:val="hybridMultilevel"/>
    <w:tmpl w:val="71C0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002A95"/>
    <w:multiLevelType w:val="hybridMultilevel"/>
    <w:tmpl w:val="907E9E84"/>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3D"/>
    <w:rsid w:val="0000028F"/>
    <w:rsid w:val="00024E4D"/>
    <w:rsid w:val="00026C26"/>
    <w:rsid w:val="00026E29"/>
    <w:rsid w:val="00027858"/>
    <w:rsid w:val="00027BFB"/>
    <w:rsid w:val="000345F7"/>
    <w:rsid w:val="00047097"/>
    <w:rsid w:val="000470FA"/>
    <w:rsid w:val="00050698"/>
    <w:rsid w:val="000558B3"/>
    <w:rsid w:val="00064B1D"/>
    <w:rsid w:val="000661F4"/>
    <w:rsid w:val="00073ACC"/>
    <w:rsid w:val="00074BBA"/>
    <w:rsid w:val="000750C2"/>
    <w:rsid w:val="000779FA"/>
    <w:rsid w:val="0008090A"/>
    <w:rsid w:val="00080C0B"/>
    <w:rsid w:val="000A07FF"/>
    <w:rsid w:val="000A7C98"/>
    <w:rsid w:val="000B20F5"/>
    <w:rsid w:val="000C4032"/>
    <w:rsid w:val="000C5E74"/>
    <w:rsid w:val="000E2C2D"/>
    <w:rsid w:val="00111EE0"/>
    <w:rsid w:val="00123CBD"/>
    <w:rsid w:val="0013364C"/>
    <w:rsid w:val="001344B7"/>
    <w:rsid w:val="0013605A"/>
    <w:rsid w:val="001372D4"/>
    <w:rsid w:val="00137887"/>
    <w:rsid w:val="00144311"/>
    <w:rsid w:val="001502AB"/>
    <w:rsid w:val="0015131D"/>
    <w:rsid w:val="00175902"/>
    <w:rsid w:val="0018280D"/>
    <w:rsid w:val="00185102"/>
    <w:rsid w:val="00185938"/>
    <w:rsid w:val="00185DD8"/>
    <w:rsid w:val="001915B4"/>
    <w:rsid w:val="001919B9"/>
    <w:rsid w:val="00192622"/>
    <w:rsid w:val="001967D3"/>
    <w:rsid w:val="00197252"/>
    <w:rsid w:val="001A2E5D"/>
    <w:rsid w:val="001A4A1B"/>
    <w:rsid w:val="001A7908"/>
    <w:rsid w:val="001B43B1"/>
    <w:rsid w:val="001B4D7D"/>
    <w:rsid w:val="001C1352"/>
    <w:rsid w:val="001C289F"/>
    <w:rsid w:val="001C673A"/>
    <w:rsid w:val="001D3014"/>
    <w:rsid w:val="001D35E9"/>
    <w:rsid w:val="001D57AB"/>
    <w:rsid w:val="001E56DC"/>
    <w:rsid w:val="001E71AD"/>
    <w:rsid w:val="001E7743"/>
    <w:rsid w:val="001F480E"/>
    <w:rsid w:val="001F6C6A"/>
    <w:rsid w:val="001F79A5"/>
    <w:rsid w:val="00205459"/>
    <w:rsid w:val="00205AD2"/>
    <w:rsid w:val="00207C94"/>
    <w:rsid w:val="00212A6F"/>
    <w:rsid w:val="00216EA7"/>
    <w:rsid w:val="002211D1"/>
    <w:rsid w:val="00222214"/>
    <w:rsid w:val="0022576D"/>
    <w:rsid w:val="00232D49"/>
    <w:rsid w:val="00234194"/>
    <w:rsid w:val="00235058"/>
    <w:rsid w:val="00236170"/>
    <w:rsid w:val="00243939"/>
    <w:rsid w:val="00244BFF"/>
    <w:rsid w:val="002450D8"/>
    <w:rsid w:val="00247486"/>
    <w:rsid w:val="00250CD3"/>
    <w:rsid w:val="00253B43"/>
    <w:rsid w:val="002554F1"/>
    <w:rsid w:val="002561D2"/>
    <w:rsid w:val="0026523A"/>
    <w:rsid w:val="00265FA8"/>
    <w:rsid w:val="00267DF1"/>
    <w:rsid w:val="00275557"/>
    <w:rsid w:val="0027589B"/>
    <w:rsid w:val="00283958"/>
    <w:rsid w:val="002926C5"/>
    <w:rsid w:val="002939B7"/>
    <w:rsid w:val="00297E60"/>
    <w:rsid w:val="002B1683"/>
    <w:rsid w:val="002C2244"/>
    <w:rsid w:val="002C4374"/>
    <w:rsid w:val="002C6937"/>
    <w:rsid w:val="002D0AE2"/>
    <w:rsid w:val="002D3E3D"/>
    <w:rsid w:val="002E02C0"/>
    <w:rsid w:val="002F19BE"/>
    <w:rsid w:val="002F2FAC"/>
    <w:rsid w:val="002F623B"/>
    <w:rsid w:val="00320929"/>
    <w:rsid w:val="00362DF5"/>
    <w:rsid w:val="00365C87"/>
    <w:rsid w:val="00380FDA"/>
    <w:rsid w:val="00381BCF"/>
    <w:rsid w:val="00394F4C"/>
    <w:rsid w:val="00396108"/>
    <w:rsid w:val="003A428B"/>
    <w:rsid w:val="003B6850"/>
    <w:rsid w:val="003B6F48"/>
    <w:rsid w:val="003B78E5"/>
    <w:rsid w:val="003C2E42"/>
    <w:rsid w:val="003C55ED"/>
    <w:rsid w:val="003D1EA9"/>
    <w:rsid w:val="003D5107"/>
    <w:rsid w:val="003E2ED3"/>
    <w:rsid w:val="003E4B83"/>
    <w:rsid w:val="00402446"/>
    <w:rsid w:val="00403795"/>
    <w:rsid w:val="00403990"/>
    <w:rsid w:val="004066A9"/>
    <w:rsid w:val="00406AF2"/>
    <w:rsid w:val="00410425"/>
    <w:rsid w:val="00417BB8"/>
    <w:rsid w:val="00420B93"/>
    <w:rsid w:val="00422B5C"/>
    <w:rsid w:val="00430C54"/>
    <w:rsid w:val="004464E6"/>
    <w:rsid w:val="00447F93"/>
    <w:rsid w:val="0045086F"/>
    <w:rsid w:val="0045303C"/>
    <w:rsid w:val="004571CA"/>
    <w:rsid w:val="00462D80"/>
    <w:rsid w:val="00464210"/>
    <w:rsid w:val="0046427C"/>
    <w:rsid w:val="004818C2"/>
    <w:rsid w:val="00481C7C"/>
    <w:rsid w:val="00483AFB"/>
    <w:rsid w:val="00484C57"/>
    <w:rsid w:val="00485DB1"/>
    <w:rsid w:val="00486CA0"/>
    <w:rsid w:val="00491DBF"/>
    <w:rsid w:val="004C04B5"/>
    <w:rsid w:val="004C62AD"/>
    <w:rsid w:val="004D0592"/>
    <w:rsid w:val="004D109A"/>
    <w:rsid w:val="004D306C"/>
    <w:rsid w:val="004D4551"/>
    <w:rsid w:val="004E388B"/>
    <w:rsid w:val="004E48B2"/>
    <w:rsid w:val="004E636D"/>
    <w:rsid w:val="004E7398"/>
    <w:rsid w:val="004E73B2"/>
    <w:rsid w:val="004F779A"/>
    <w:rsid w:val="0050015B"/>
    <w:rsid w:val="00504335"/>
    <w:rsid w:val="00522327"/>
    <w:rsid w:val="00526E70"/>
    <w:rsid w:val="0053362F"/>
    <w:rsid w:val="005345CE"/>
    <w:rsid w:val="00546B03"/>
    <w:rsid w:val="00566395"/>
    <w:rsid w:val="005722D3"/>
    <w:rsid w:val="0057383C"/>
    <w:rsid w:val="00575781"/>
    <w:rsid w:val="00581B93"/>
    <w:rsid w:val="005863EE"/>
    <w:rsid w:val="005945FC"/>
    <w:rsid w:val="00595DA0"/>
    <w:rsid w:val="005B325C"/>
    <w:rsid w:val="005C1961"/>
    <w:rsid w:val="005C734F"/>
    <w:rsid w:val="005C7D5A"/>
    <w:rsid w:val="005D1EB4"/>
    <w:rsid w:val="005D5913"/>
    <w:rsid w:val="005F2CB2"/>
    <w:rsid w:val="005F3F9D"/>
    <w:rsid w:val="005F6DF1"/>
    <w:rsid w:val="005F745B"/>
    <w:rsid w:val="0060451F"/>
    <w:rsid w:val="00606B85"/>
    <w:rsid w:val="0061201D"/>
    <w:rsid w:val="00620CB9"/>
    <w:rsid w:val="00623BFD"/>
    <w:rsid w:val="00625DB3"/>
    <w:rsid w:val="006305CC"/>
    <w:rsid w:val="0063690A"/>
    <w:rsid w:val="00636E63"/>
    <w:rsid w:val="00637279"/>
    <w:rsid w:val="006437F7"/>
    <w:rsid w:val="0065467D"/>
    <w:rsid w:val="0065704F"/>
    <w:rsid w:val="00660A7B"/>
    <w:rsid w:val="00667030"/>
    <w:rsid w:val="0066707D"/>
    <w:rsid w:val="0068370D"/>
    <w:rsid w:val="0068400A"/>
    <w:rsid w:val="006A23B3"/>
    <w:rsid w:val="006A5F0F"/>
    <w:rsid w:val="006B0827"/>
    <w:rsid w:val="006B55BE"/>
    <w:rsid w:val="006B786F"/>
    <w:rsid w:val="006C3606"/>
    <w:rsid w:val="006C7794"/>
    <w:rsid w:val="006D7C4D"/>
    <w:rsid w:val="006E1EDA"/>
    <w:rsid w:val="006F429E"/>
    <w:rsid w:val="007031C9"/>
    <w:rsid w:val="007057E7"/>
    <w:rsid w:val="00714869"/>
    <w:rsid w:val="00753B27"/>
    <w:rsid w:val="00761F83"/>
    <w:rsid w:val="00767E19"/>
    <w:rsid w:val="00770AF5"/>
    <w:rsid w:val="0077106B"/>
    <w:rsid w:val="00772B95"/>
    <w:rsid w:val="0078112E"/>
    <w:rsid w:val="00786FC3"/>
    <w:rsid w:val="00790D12"/>
    <w:rsid w:val="00792F4E"/>
    <w:rsid w:val="00794855"/>
    <w:rsid w:val="007A4483"/>
    <w:rsid w:val="007A66BE"/>
    <w:rsid w:val="007B1D6B"/>
    <w:rsid w:val="007B23A0"/>
    <w:rsid w:val="007C25B0"/>
    <w:rsid w:val="007C438A"/>
    <w:rsid w:val="007D0076"/>
    <w:rsid w:val="007D10D9"/>
    <w:rsid w:val="007D6677"/>
    <w:rsid w:val="007E1419"/>
    <w:rsid w:val="007F07C1"/>
    <w:rsid w:val="007F16B9"/>
    <w:rsid w:val="007F4DD0"/>
    <w:rsid w:val="00800364"/>
    <w:rsid w:val="00801A1F"/>
    <w:rsid w:val="00813D68"/>
    <w:rsid w:val="00816128"/>
    <w:rsid w:val="008178FE"/>
    <w:rsid w:val="0082320A"/>
    <w:rsid w:val="00825653"/>
    <w:rsid w:val="0083042E"/>
    <w:rsid w:val="00831D7F"/>
    <w:rsid w:val="00832C3E"/>
    <w:rsid w:val="00836BF3"/>
    <w:rsid w:val="00837062"/>
    <w:rsid w:val="0084042C"/>
    <w:rsid w:val="008434A4"/>
    <w:rsid w:val="00844D8F"/>
    <w:rsid w:val="00854521"/>
    <w:rsid w:val="008566CA"/>
    <w:rsid w:val="00856EDF"/>
    <w:rsid w:val="00857088"/>
    <w:rsid w:val="00857F2D"/>
    <w:rsid w:val="0086049D"/>
    <w:rsid w:val="00861B61"/>
    <w:rsid w:val="00865AC6"/>
    <w:rsid w:val="008670EE"/>
    <w:rsid w:val="00882BFA"/>
    <w:rsid w:val="00884D29"/>
    <w:rsid w:val="008A0E2E"/>
    <w:rsid w:val="008A0FC8"/>
    <w:rsid w:val="008A358B"/>
    <w:rsid w:val="008A615C"/>
    <w:rsid w:val="008B355E"/>
    <w:rsid w:val="008C35C1"/>
    <w:rsid w:val="008C5C37"/>
    <w:rsid w:val="008D01C1"/>
    <w:rsid w:val="008D663F"/>
    <w:rsid w:val="008E6CB1"/>
    <w:rsid w:val="008F336C"/>
    <w:rsid w:val="008F604F"/>
    <w:rsid w:val="00903196"/>
    <w:rsid w:val="009120AF"/>
    <w:rsid w:val="00916735"/>
    <w:rsid w:val="00920BDD"/>
    <w:rsid w:val="00930ED2"/>
    <w:rsid w:val="00934C30"/>
    <w:rsid w:val="00936648"/>
    <w:rsid w:val="009462B7"/>
    <w:rsid w:val="00953FB0"/>
    <w:rsid w:val="0096059D"/>
    <w:rsid w:val="00973AE7"/>
    <w:rsid w:val="00975A3D"/>
    <w:rsid w:val="00982073"/>
    <w:rsid w:val="009910E7"/>
    <w:rsid w:val="009931A1"/>
    <w:rsid w:val="00994B1F"/>
    <w:rsid w:val="00997A8F"/>
    <w:rsid w:val="009A6560"/>
    <w:rsid w:val="009A7219"/>
    <w:rsid w:val="009B16FB"/>
    <w:rsid w:val="009B799F"/>
    <w:rsid w:val="009C748F"/>
    <w:rsid w:val="009D4893"/>
    <w:rsid w:val="009E48A9"/>
    <w:rsid w:val="009E4CE1"/>
    <w:rsid w:val="009E54DC"/>
    <w:rsid w:val="009F426F"/>
    <w:rsid w:val="009F74DA"/>
    <w:rsid w:val="00A03115"/>
    <w:rsid w:val="00A16164"/>
    <w:rsid w:val="00A221F5"/>
    <w:rsid w:val="00A228C5"/>
    <w:rsid w:val="00A32032"/>
    <w:rsid w:val="00A33E88"/>
    <w:rsid w:val="00A34E22"/>
    <w:rsid w:val="00A412E9"/>
    <w:rsid w:val="00A602DB"/>
    <w:rsid w:val="00A6217A"/>
    <w:rsid w:val="00A667B9"/>
    <w:rsid w:val="00A6712D"/>
    <w:rsid w:val="00A74D7C"/>
    <w:rsid w:val="00A767C1"/>
    <w:rsid w:val="00A936D7"/>
    <w:rsid w:val="00AA34F6"/>
    <w:rsid w:val="00AA3B01"/>
    <w:rsid w:val="00AA4E6F"/>
    <w:rsid w:val="00AB2A68"/>
    <w:rsid w:val="00AB377C"/>
    <w:rsid w:val="00AB4683"/>
    <w:rsid w:val="00AC2D5C"/>
    <w:rsid w:val="00AD66EC"/>
    <w:rsid w:val="00AD7EC1"/>
    <w:rsid w:val="00AE7F25"/>
    <w:rsid w:val="00AF4DBE"/>
    <w:rsid w:val="00AF5E81"/>
    <w:rsid w:val="00AF7CCF"/>
    <w:rsid w:val="00B013CE"/>
    <w:rsid w:val="00B05C31"/>
    <w:rsid w:val="00B0618B"/>
    <w:rsid w:val="00B0705F"/>
    <w:rsid w:val="00B119B5"/>
    <w:rsid w:val="00B12177"/>
    <w:rsid w:val="00B33BD9"/>
    <w:rsid w:val="00B5371A"/>
    <w:rsid w:val="00B538E2"/>
    <w:rsid w:val="00B54A3D"/>
    <w:rsid w:val="00B5602D"/>
    <w:rsid w:val="00B575A0"/>
    <w:rsid w:val="00B602C8"/>
    <w:rsid w:val="00B612AF"/>
    <w:rsid w:val="00B615CD"/>
    <w:rsid w:val="00B627F9"/>
    <w:rsid w:val="00B6410A"/>
    <w:rsid w:val="00B66F77"/>
    <w:rsid w:val="00B70883"/>
    <w:rsid w:val="00B75D69"/>
    <w:rsid w:val="00B76A1C"/>
    <w:rsid w:val="00B81721"/>
    <w:rsid w:val="00B830DB"/>
    <w:rsid w:val="00B84D7B"/>
    <w:rsid w:val="00B954E9"/>
    <w:rsid w:val="00B96777"/>
    <w:rsid w:val="00BA4AB8"/>
    <w:rsid w:val="00BA4F71"/>
    <w:rsid w:val="00BB27D7"/>
    <w:rsid w:val="00BB35DD"/>
    <w:rsid w:val="00BB62DB"/>
    <w:rsid w:val="00BB6F1B"/>
    <w:rsid w:val="00BC5AD5"/>
    <w:rsid w:val="00BD52EE"/>
    <w:rsid w:val="00BD54DA"/>
    <w:rsid w:val="00BE3E80"/>
    <w:rsid w:val="00BF6731"/>
    <w:rsid w:val="00C04F28"/>
    <w:rsid w:val="00C0770F"/>
    <w:rsid w:val="00C07E1F"/>
    <w:rsid w:val="00C45BD4"/>
    <w:rsid w:val="00C524C9"/>
    <w:rsid w:val="00C555EB"/>
    <w:rsid w:val="00C61164"/>
    <w:rsid w:val="00C665BC"/>
    <w:rsid w:val="00C748EC"/>
    <w:rsid w:val="00C85198"/>
    <w:rsid w:val="00C870F3"/>
    <w:rsid w:val="00C873EC"/>
    <w:rsid w:val="00C92C15"/>
    <w:rsid w:val="00CA1EFD"/>
    <w:rsid w:val="00CB7955"/>
    <w:rsid w:val="00CC1F5E"/>
    <w:rsid w:val="00CC4010"/>
    <w:rsid w:val="00CC771D"/>
    <w:rsid w:val="00CD4CF5"/>
    <w:rsid w:val="00CE1FD1"/>
    <w:rsid w:val="00CE36C7"/>
    <w:rsid w:val="00CE3E95"/>
    <w:rsid w:val="00CF180A"/>
    <w:rsid w:val="00CF277C"/>
    <w:rsid w:val="00D1241F"/>
    <w:rsid w:val="00D16D6D"/>
    <w:rsid w:val="00D177EB"/>
    <w:rsid w:val="00D22AD3"/>
    <w:rsid w:val="00D32D9E"/>
    <w:rsid w:val="00D35829"/>
    <w:rsid w:val="00D362D0"/>
    <w:rsid w:val="00D466AE"/>
    <w:rsid w:val="00D472D4"/>
    <w:rsid w:val="00D51192"/>
    <w:rsid w:val="00D61207"/>
    <w:rsid w:val="00D64869"/>
    <w:rsid w:val="00D766D9"/>
    <w:rsid w:val="00D77AAB"/>
    <w:rsid w:val="00D818A7"/>
    <w:rsid w:val="00D85001"/>
    <w:rsid w:val="00D850A7"/>
    <w:rsid w:val="00D942AF"/>
    <w:rsid w:val="00DA2F2A"/>
    <w:rsid w:val="00DA30EE"/>
    <w:rsid w:val="00DA5762"/>
    <w:rsid w:val="00DB0455"/>
    <w:rsid w:val="00DB1996"/>
    <w:rsid w:val="00DB222F"/>
    <w:rsid w:val="00DB226A"/>
    <w:rsid w:val="00DB371D"/>
    <w:rsid w:val="00DB49F0"/>
    <w:rsid w:val="00DB6EC2"/>
    <w:rsid w:val="00DB74CB"/>
    <w:rsid w:val="00DC29B6"/>
    <w:rsid w:val="00DC2CE1"/>
    <w:rsid w:val="00DC4350"/>
    <w:rsid w:val="00DD0499"/>
    <w:rsid w:val="00DD79CA"/>
    <w:rsid w:val="00DE1CF9"/>
    <w:rsid w:val="00DE25C7"/>
    <w:rsid w:val="00DE3BE1"/>
    <w:rsid w:val="00DE46D1"/>
    <w:rsid w:val="00DF1BE6"/>
    <w:rsid w:val="00DF6ADD"/>
    <w:rsid w:val="00E01DC7"/>
    <w:rsid w:val="00E11CB1"/>
    <w:rsid w:val="00E1233C"/>
    <w:rsid w:val="00E1249C"/>
    <w:rsid w:val="00E233B8"/>
    <w:rsid w:val="00E27C6C"/>
    <w:rsid w:val="00E46290"/>
    <w:rsid w:val="00E537B8"/>
    <w:rsid w:val="00E54132"/>
    <w:rsid w:val="00E57D2A"/>
    <w:rsid w:val="00E62619"/>
    <w:rsid w:val="00E65B99"/>
    <w:rsid w:val="00E66684"/>
    <w:rsid w:val="00E668FA"/>
    <w:rsid w:val="00E66F4D"/>
    <w:rsid w:val="00E71BF1"/>
    <w:rsid w:val="00E72038"/>
    <w:rsid w:val="00E811A4"/>
    <w:rsid w:val="00E915F6"/>
    <w:rsid w:val="00EA4075"/>
    <w:rsid w:val="00EA5688"/>
    <w:rsid w:val="00EA6F3C"/>
    <w:rsid w:val="00EB100A"/>
    <w:rsid w:val="00EB10A4"/>
    <w:rsid w:val="00EC2FAF"/>
    <w:rsid w:val="00EC6319"/>
    <w:rsid w:val="00EC7EE8"/>
    <w:rsid w:val="00ED60C3"/>
    <w:rsid w:val="00EE3723"/>
    <w:rsid w:val="00EE5E53"/>
    <w:rsid w:val="00EF4FD6"/>
    <w:rsid w:val="00EF5853"/>
    <w:rsid w:val="00F00E88"/>
    <w:rsid w:val="00F01F86"/>
    <w:rsid w:val="00F07F70"/>
    <w:rsid w:val="00F16B4C"/>
    <w:rsid w:val="00F248F7"/>
    <w:rsid w:val="00F2578B"/>
    <w:rsid w:val="00F51E73"/>
    <w:rsid w:val="00F70EB4"/>
    <w:rsid w:val="00F83ADF"/>
    <w:rsid w:val="00F83BC7"/>
    <w:rsid w:val="00F852F1"/>
    <w:rsid w:val="00F872E0"/>
    <w:rsid w:val="00F90B18"/>
    <w:rsid w:val="00F90C82"/>
    <w:rsid w:val="00F93630"/>
    <w:rsid w:val="00F94C2C"/>
    <w:rsid w:val="00F960D3"/>
    <w:rsid w:val="00FA0CDC"/>
    <w:rsid w:val="00FA5A51"/>
    <w:rsid w:val="00FB2217"/>
    <w:rsid w:val="00FB2741"/>
    <w:rsid w:val="00FB4CFB"/>
    <w:rsid w:val="00FC0002"/>
    <w:rsid w:val="00FC62DC"/>
    <w:rsid w:val="00FD10D1"/>
    <w:rsid w:val="00FF2F5D"/>
    <w:rsid w:val="00FF38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shapelayout>
  </w:shapeDefaults>
  <w:decimalSymbol w:val="."/>
  <w:listSeparator w:val=","/>
  <w14:docId w14:val="316CA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 w:type="character" w:styleId="CommentReference">
    <w:name w:val="annotation reference"/>
    <w:basedOn w:val="DefaultParagraphFont"/>
    <w:uiPriority w:val="99"/>
    <w:semiHidden/>
    <w:unhideWhenUsed/>
    <w:rsid w:val="004C62AD"/>
    <w:rPr>
      <w:sz w:val="18"/>
      <w:szCs w:val="18"/>
    </w:rPr>
  </w:style>
  <w:style w:type="paragraph" w:styleId="CommentText">
    <w:name w:val="annotation text"/>
    <w:basedOn w:val="Normal"/>
    <w:link w:val="CommentTextChar"/>
    <w:uiPriority w:val="99"/>
    <w:semiHidden/>
    <w:unhideWhenUsed/>
    <w:rsid w:val="004C62AD"/>
    <w:pPr>
      <w:keepNext w:val="0"/>
      <w:keepLines w:val="0"/>
      <w:spacing w:after="0" w:line="240" w:lineRule="auto"/>
      <w:jc w:val="left"/>
      <w:outlineLvl w:val="9"/>
    </w:pPr>
    <w:rPr>
      <w:rFonts w:ascii="Times New Roman" w:hAnsi="Times New Roman" w:cs="Times New Roman"/>
      <w:sz w:val="24"/>
      <w:szCs w:val="24"/>
      <w:lang w:val="en-US" w:eastAsia="ko-KR"/>
    </w:rPr>
  </w:style>
  <w:style w:type="character" w:customStyle="1" w:styleId="CommentTextChar">
    <w:name w:val="Comment Text Char"/>
    <w:basedOn w:val="DefaultParagraphFont"/>
    <w:link w:val="CommentText"/>
    <w:uiPriority w:val="99"/>
    <w:semiHidden/>
    <w:rsid w:val="004C62AD"/>
    <w:rPr>
      <w:rFonts w:ascii="Times New Roman" w:hAnsi="Times New Roman" w:cs="Times New Roman"/>
      <w:sz w:val="24"/>
      <w:szCs w:val="24"/>
      <w:lang w:eastAsia="ko-KR"/>
    </w:rPr>
  </w:style>
  <w:style w:type="character" w:customStyle="1" w:styleId="UnresolvedMention2">
    <w:name w:val="Unresolved Mention2"/>
    <w:basedOn w:val="DefaultParagraphFont"/>
    <w:uiPriority w:val="99"/>
    <w:semiHidden/>
    <w:unhideWhenUsed/>
    <w:rsid w:val="005F6DF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939B7"/>
    <w:pPr>
      <w:keepNext/>
      <w:keepLines/>
      <w:spacing w:after="120"/>
      <w:jc w:val="both"/>
      <w:outlineLvl w:val="0"/>
    </w:pPr>
    <w:rPr>
      <w:rFonts w:ascii="Univers LT CYR 55" w:hAnsi="Univers LT CYR 55" w:cstheme="minorBidi"/>
      <w:b/>
      <w:bCs/>
      <w:sz w:val="20"/>
      <w:szCs w:val="20"/>
      <w:lang w:val="en-GB" w:eastAsia="zh-CN"/>
    </w:rPr>
  </w:style>
  <w:style w:type="character" w:customStyle="1" w:styleId="CommentSubjectChar">
    <w:name w:val="Comment Subject Char"/>
    <w:basedOn w:val="CommentTextChar"/>
    <w:link w:val="CommentSubject"/>
    <w:uiPriority w:val="99"/>
    <w:semiHidden/>
    <w:rsid w:val="002939B7"/>
    <w:rPr>
      <w:rFonts w:ascii="Univers LT CYR 55" w:hAnsi="Univers LT CYR 55" w:cs="Times New Roman"/>
      <w:b/>
      <w:bCs/>
      <w:sz w:val="20"/>
      <w:szCs w:val="20"/>
      <w:lang w:val="en-GB"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 w:type="character" w:styleId="CommentReference">
    <w:name w:val="annotation reference"/>
    <w:basedOn w:val="DefaultParagraphFont"/>
    <w:uiPriority w:val="99"/>
    <w:semiHidden/>
    <w:unhideWhenUsed/>
    <w:rsid w:val="004C62AD"/>
    <w:rPr>
      <w:sz w:val="18"/>
      <w:szCs w:val="18"/>
    </w:rPr>
  </w:style>
  <w:style w:type="paragraph" w:styleId="CommentText">
    <w:name w:val="annotation text"/>
    <w:basedOn w:val="Normal"/>
    <w:link w:val="CommentTextChar"/>
    <w:uiPriority w:val="99"/>
    <w:semiHidden/>
    <w:unhideWhenUsed/>
    <w:rsid w:val="004C62AD"/>
    <w:pPr>
      <w:keepNext w:val="0"/>
      <w:keepLines w:val="0"/>
      <w:spacing w:after="0" w:line="240" w:lineRule="auto"/>
      <w:jc w:val="left"/>
      <w:outlineLvl w:val="9"/>
    </w:pPr>
    <w:rPr>
      <w:rFonts w:ascii="Times New Roman" w:hAnsi="Times New Roman" w:cs="Times New Roman"/>
      <w:sz w:val="24"/>
      <w:szCs w:val="24"/>
      <w:lang w:val="en-US" w:eastAsia="ko-KR"/>
    </w:rPr>
  </w:style>
  <w:style w:type="character" w:customStyle="1" w:styleId="CommentTextChar">
    <w:name w:val="Comment Text Char"/>
    <w:basedOn w:val="DefaultParagraphFont"/>
    <w:link w:val="CommentText"/>
    <w:uiPriority w:val="99"/>
    <w:semiHidden/>
    <w:rsid w:val="004C62AD"/>
    <w:rPr>
      <w:rFonts w:ascii="Times New Roman" w:hAnsi="Times New Roman" w:cs="Times New Roman"/>
      <w:sz w:val="24"/>
      <w:szCs w:val="24"/>
      <w:lang w:eastAsia="ko-KR"/>
    </w:rPr>
  </w:style>
  <w:style w:type="character" w:customStyle="1" w:styleId="UnresolvedMention2">
    <w:name w:val="Unresolved Mention2"/>
    <w:basedOn w:val="DefaultParagraphFont"/>
    <w:uiPriority w:val="99"/>
    <w:semiHidden/>
    <w:unhideWhenUsed/>
    <w:rsid w:val="005F6DF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939B7"/>
    <w:pPr>
      <w:keepNext/>
      <w:keepLines/>
      <w:spacing w:after="120"/>
      <w:jc w:val="both"/>
      <w:outlineLvl w:val="0"/>
    </w:pPr>
    <w:rPr>
      <w:rFonts w:ascii="Univers LT CYR 55" w:hAnsi="Univers LT CYR 55" w:cstheme="minorBidi"/>
      <w:b/>
      <w:bCs/>
      <w:sz w:val="20"/>
      <w:szCs w:val="20"/>
      <w:lang w:val="en-GB" w:eastAsia="zh-CN"/>
    </w:rPr>
  </w:style>
  <w:style w:type="character" w:customStyle="1" w:styleId="CommentSubjectChar">
    <w:name w:val="Comment Subject Char"/>
    <w:basedOn w:val="CommentTextChar"/>
    <w:link w:val="CommentSubject"/>
    <w:uiPriority w:val="99"/>
    <w:semiHidden/>
    <w:rsid w:val="002939B7"/>
    <w:rPr>
      <w:rFonts w:ascii="Univers LT CYR 55" w:hAnsi="Univers LT CYR 55" w:cs="Times New Roman"/>
      <w:b/>
      <w:bCs/>
      <w:sz w:val="20"/>
      <w:szCs w:val="2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hyperlink" Target="https://www.wmolc.org/modules/data/plot/autograds4/download_PMME.php?filename=wmo/WMOLC_T2M.gif" TargetMode="External"/><Relationship Id="rId42" Type="http://schemas.openxmlformats.org/officeDocument/2006/relationships/hyperlink" Target="http://www.wmo.int/pages/prog/wcp/wcasp/RCC-Asia.html" TargetMode="External"/><Relationship Id="rId47" Type="http://schemas.openxmlformats.org/officeDocument/2006/relationships/hyperlink" Target="http://www.wmolc.org" TargetMode="External"/><Relationship Id="rId50" Type="http://schemas.openxmlformats.org/officeDocument/2006/relationships/hyperlink" Target="https://public.wmo.int/en/our-mandate/climate/regional-climate-outlook-products" TargetMode="Externa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gif"/><Relationship Id="rId33" Type="http://schemas.openxmlformats.org/officeDocument/2006/relationships/hyperlink" Target="https://ftp.cpc.ncep.noaa.gov/mingyue/GSCUWMO/" TargetMode="External"/><Relationship Id="rId38" Type="http://schemas.openxmlformats.org/officeDocument/2006/relationships/header" Target="header2.xml"/><Relationship Id="rId46" Type="http://schemas.openxmlformats.org/officeDocument/2006/relationships/hyperlink" Target="http://www.wmo.int/pages/prog/wcp/wcasp/RCC-Europe.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gif"/><Relationship Id="rId41" Type="http://schemas.openxmlformats.org/officeDocument/2006/relationships/hyperlink" Target="http://www.wmo.int/pages/prog/wcp/wcasp/RCC-Africa.html"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gif"/><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hyperlink" Target="http://www.wmo.int/pages/prog/wcp/wcasp/RCC-SouthwestPacific.html" TargetMode="External"/><Relationship Id="rId53"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hyperlink" Target="http://www.wmo.int/pages/prog/wcp/wcasp/LC-LRFMME/index.php%20%20"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gif"/><Relationship Id="rId44" Type="http://schemas.openxmlformats.org/officeDocument/2006/relationships/hyperlink" Target="http://www.wmo.int/pages/prog/wcp/wcasp/RCC-NorthAmerica.html" TargetMode="Externa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gif"/><Relationship Id="rId35" Type="http://schemas.openxmlformats.org/officeDocument/2006/relationships/hyperlink" Target="https://www.wmolc.org/modules/data/plot/autograds4/download_PMME.php?filename=wmo/WMOLC_PREC.gif" TargetMode="External"/><Relationship Id="rId43" Type="http://schemas.openxmlformats.org/officeDocument/2006/relationships/hyperlink" Target="http://www.wmo.int/pages/prog/wcp/wcasp/RCC-SouthAmerica.html" TargetMode="External"/><Relationship Id="rId48" Type="http://schemas.openxmlformats.org/officeDocument/2006/relationships/hyperlink" Target="http://www.wmo.int/pages/prog/wcp/wcasp/clips/producers_forecasts.html"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portal.iri.columbia.edu/portal/server.pt"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tp.cpc.ncep.noaa.gov/mingyue/GSCUWMO/Supplementary/GSCU_MAM_2020_supplementary_info_LC-LRFMME.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1" Type="http://schemas.openxmlformats.org/officeDocument/2006/relationships/image" Target="media/image23.png"/></Relationships>
</file>

<file path=word/_rels/header6.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Description="" ma:contentTypeID="0x010100B31BC1E7783241B8A4B61FAAE7961C26" ma:contentTypeName="Miscellaneous" ma:contentTypeScope="" ma:contentTypeVersion="1" ma:versionID="84a7f6b9a9324c93f7c429fe637c4145">
  <xsd:schema xmlns:xsd="http://www.w3.org/2001/XMLSchema" xmlns:ns2="0e656187-b300-4fb0-8bf4-3a50f872073c" xmlns:p="http://schemas.microsoft.com/office/2006/metadata/properties" ma:fieldsID="d82bb511108d8e269345fc9bd5c1ab5b" ma:root="true" ns2:_="" targetNamespace="http://schemas.microsoft.com/office/2006/metadata/properties">
    <xsd:import namespace="0e656187-b300-4fb0-8bf4-3a50f872073c"/>
    <xsd:element name="properties">
      <xsd:complexType>
        <xsd:sequence>
          <xsd:element name="documentManagement">
            <xsd:complexType>
              <xsd:all>
                <xsd:element minOccurs="0" ref="ns2:Country"/>
                <xsd:element ref="ns2:Department"/>
                <xsd:element ref="ns2:Subject_x0020_"/>
                <xsd:element ref="ns2:Project_x0020_Identification_x0020__x002f__x0020_Reference"/>
              </xsd:all>
            </xsd:complexType>
          </xsd:element>
        </xsd:sequence>
      </xsd:complexType>
    </xsd:element>
  </xsd:schema>
  <xsd:schema xmlns:xsd="http://www.w3.org/2001/XMLSchema" xmlns:dms="http://schemas.microsoft.com/office/2006/documentManagement/types" elementFormDefault="qualified" targetNamespace="0e656187-b300-4fb0-8bf4-3a50f872073c">
    <xsd:import namespace="http://schemas.microsoft.com/office/2006/documentManagement/types"/>
    <xsd:element ma:displayName="Country" ma:format="Dropdown" ma:index="8" ma:internalName="Country" name="Country" nillable="true">
      <xsd:simpleType>
        <xsd:restriction base="dms:Choice">
          <xsd:enumeration valu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Plurinational State of"/>
          <xsd:enumeration value="Bosnia and Herzegovina"/>
          <xsd:enumeration value="Botswana"/>
          <xsd:enumeration value="Brazil"/>
          <xsd:enumeration value="British Caribbean Territories"/>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Cook Islands"/>
          <xsd:enumeration value="Costa Rica"/>
          <xsd:enumeration value="Ivory Coast"/>
          <xsd:enumeration value="Croatia"/>
          <xsd:enumeration value="Cuba"/>
          <xsd:enumeration value="Curaçao and Sint Maarten"/>
          <xsd:enumeration value="Cyprus"/>
          <xsd:enumeration value="Czech Republic"/>
          <xsd:enumeration value="Democratic People's Republic of Korea"/>
          <xsd:enumeration value="Democratic Republic of the Congo"/>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French Polynesia"/>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ong Kong, China"/>
          <xsd:enumeration value="Hungary"/>
          <xsd:enumeration value="Iceland"/>
          <xsd:enumeration value="India"/>
          <xsd:enumeration value="Indonesia"/>
          <xsd:enumeration value="Iran, Islamic Republic of"/>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 People's Democratic Republic"/>
          <xsd:enumeration value="Latvia"/>
          <xsd:enumeration value="Lebanon"/>
          <xsd:enumeration value="Lesotho"/>
          <xsd:enumeration value="Liberia"/>
          <xsd:enumeration value="Libya"/>
          <xsd:enumeration value="Liechtenstein"/>
          <xsd:enumeration value="Lithuania"/>
          <xsd:enumeration value="Luxembourg"/>
          <xsd:enumeration value="Macao, China"/>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Federated States of"/>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Caledonia"/>
          <xsd:enumeration value="New Zealand"/>
          <xsd:enumeration value="Nicaragua"/>
          <xsd:enumeration value="Niger"/>
          <xsd:enumeration value="Nigeria"/>
          <xsd:enumeration value="Niue"/>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epublic of Korea"/>
          <xsd:enumeration value="Republic of Moldova"/>
          <xsd:enumeration value="Romania"/>
          <xsd:enumeration value="Russian Federation"/>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Sudan"/>
          <xsd:enumeration value="Spain"/>
          <xsd:enumeration value="Sri Lanka"/>
          <xsd:enumeration value="Sudan"/>
          <xsd:enumeration value="Suriname"/>
          <xsd:enumeration value="Sweden"/>
          <xsd:enumeration value="Switzerland"/>
          <xsd:enumeration value="Syrian Arab Republic"/>
          <xsd:enumeration value="Tajikistan"/>
          <xsd:enumeration value="Thailand"/>
          <xsd:enumeration value="The former Yugoslav Republic of Macedonia"/>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of Great Britain and Northern Ireland"/>
          <xsd:enumeration value="United Republic of Tanzania"/>
          <xsd:enumeration value="United States of America"/>
          <xsd:enumeration value="Uruguay"/>
          <xsd:enumeration value="Uzbekistan"/>
          <xsd:enumeration value="Vanuatu"/>
          <xsd:enumeration value="Venezuela, Bolivarian Republic of"/>
          <xsd:enumeration value="Viet Nam"/>
          <xsd:enumeration value="Yemen"/>
          <xsd:enumeration value="Zambia"/>
          <xsd:enumeration value="Zimbabwe"/>
        </xsd:restriction>
      </xsd:simpleType>
    </xsd:element>
    <xsd:element ma:displayName="Department" ma:format="Dropdown" ma:index="9" ma:internalName="Department" name="Department">
      <xsd:simpleType>
        <xsd:restriction base="dms:Choice">
          <xsd:enumeration value="ADM"/>
          <xsd:enumeration value="ADM/BO"/>
          <xsd:enumeration value="ADM/FIN"/>
          <xsd:enumeration value="ADM/HRD"/>
          <xsd:enumeration value="ADM/ITCSD"/>
          <xsd:enumeration value="ADM/PCTD"/>
          <xsd:enumeration value="ASGO"/>
          <xsd:enumeration value="CER"/>
          <xsd:enumeration value="CER/COMM"/>
          <xsd:enumeration value="CER/DPO"/>
          <xsd:enumeration value="CER/EXT"/>
          <xsd:enumeration value="CER/RGA"/>
          <xsd:enumeration value="CLW"/>
          <xsd:enumeration value="CLW/AGM"/>
          <xsd:enumeration value="CLW/BSH"/>
          <xsd:enumeration value="CLW/CBHWR"/>
          <xsd:enumeration value="CLW/CCA"/>
          <xsd:enumeration value="CLW/CLPA"/>
          <xsd:enumeration value="CLW/DMA"/>
          <xsd:enumeration value="CLW/GCOS"/>
          <xsd:enumeration value="CLW/GFCS"/>
          <xsd:enumeration value="CLW/HFWR"/>
          <xsd:enumeration value="CLW/HWR"/>
          <xsd:enumeration value="CLW/WCAS"/>
          <xsd:enumeration value="DRA"/>
          <xsd:enumeration value="DRA/AFLDC"/>
          <xsd:enumeration value="DRA/ETR"/>
          <xsd:enumeration value="DRA/PCU"/>
          <xsd:enumeration value="DRA/RAM"/>
          <xsd:enumeration value="DRA/RAP"/>
          <xsd:enumeration value="DRA/RMDP"/>
          <xsd:enumeration value="DRA/ROE"/>
          <xsd:enumeration value="DSGO"/>
          <xsd:enumeration value="IOO"/>
          <xsd:enumeration value="IPCC"/>
          <xsd:enumeration value="LCP"/>
          <xsd:enumeration value="LCP/CNF"/>
          <xsd:enumeration value="LCP/COS"/>
          <xsd:enumeration value="LCP/DPM"/>
          <xsd:enumeration value="LCP/LSU"/>
          <xsd:enumeration value="OBS"/>
          <xsd:enumeration value="OBS-WIGOS"/>
          <xsd:enumeration value="OBS-WIGOS/IMO"/>
          <xsd:enumeration value="OBS-WIGOS/OSD"/>
          <xsd:enumeration value="OBS-WIGOS/SAT"/>
          <xsd:enumeration value="OBS-WIGOS/WIGOS"/>
          <xsd:enumeration value="OBS-WIS"/>
          <xsd:enumeration value="OBS-WIS/DRMM"/>
          <xsd:enumeration value="OBS-WIS/IMO"/>
          <xsd:enumeration value="OBS-WIS/ITD"/>
          <xsd:enumeration value="OBS-WIS/ITS"/>
          <xsd:enumeration value="REM"/>
          <xsd:enumeration value="REM/BO"/>
          <xsd:enumeration value="REM/FIN"/>
          <xsd:enumeration value="REM/HRD"/>
          <xsd:enumeration value="REM/ITCSD"/>
          <xsd:enumeration value="REM/PCTD"/>
          <xsd:enumeration value="RES-ARE"/>
          <xsd:enumeration value="RES-WCRP"/>
          <xsd:enumeration value="SGO"/>
          <xsd:enumeration value="SGO/ADM"/>
          <xsd:enumeration value="SGO/EASG"/>
          <xsd:enumeration value="SGO/LC"/>
          <xsd:enumeration value="SPO"/>
          <xsd:enumeration value="WDS"/>
          <xsd:enumeration value="WDS/AEM"/>
          <xsd:enumeration value="WDS/DPFS"/>
          <xsd:enumeration value="WDS/DRR"/>
          <xsd:enumeration value="WDS/MMO"/>
          <xsd:enumeration value="WDS/PWS"/>
          <xsd:enumeration value="WDS/TCP"/>
        </xsd:restriction>
      </xsd:simpleType>
    </xsd:element>
    <xsd:element ma:displayName="Subject " ma:index="10" ma:internalName="Subject_x0020_" name="Subject_x0020_">
      <xsd:simpleType>
        <xsd:restriction base="dms:Text">
          <xsd:minLength value="1"/>
          <xsd:maxLength value="128"/>
        </xsd:restriction>
      </xsd:simpleType>
    </xsd:element>
    <xsd:element ma:displayName="Project Identification / Reference" ma:index="11" ma:internalName="Project_x0020_Identification_x0020__x002f__x0020_Reference" name="Project_x0020_Identification_x0020__x002f__x0020_Reference">
      <xsd:simpleType>
        <xsd:restriction base="dms:Text">
          <xsd:minLength value="1"/>
          <xsd:maxLength value="128"/>
        </xsd:restriction>
      </xsd:simpleType>
    </xsd:element>
  </xsd:schema>
  <xsd:schema xmlns:xsd="http://www.w3.org/2001/XMLSchema" xmlns="http://schemas.openxmlformats.org/package/2006/metadata/core-properties" xmlns:dc="http://purl.org/dc/elements/1.1/" xmlns:dcterms="http://purl.org/dc/terms/" xmlns:odoc="http://schemas.microsoft.com/office/internal/2005/internalDocumentation"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Type" ma:index="0" ma:readOnly="true"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xsd:annotation>
        </xsd:element>
        <xsd:element maxOccurs="1" minOccurs="0" name="lastModifiedBy" type="xsd:string"/>
        <xsd:element maxOccurs="1" minOccurs="0" ref="dcterms:modified"/>
        <xsd:element maxOccurs="1" minOccurs="0" name="lastPrinted" type="xsd:dateTime"/>
        <xsd:element maxOccurs="1" minOccurs="0" name="contentStatus" type="xsd:string"/>
      </xsd:all>
    </xsd:complexType>
  </xsd: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Country xmlns="0e656187-b300-4fb0-8bf4-3a50f872073c" xsi:nil="true"/>
    <Department xmlns="0e656187-b300-4fb0-8bf4-3a50f872073c">CLW/WCAS</Department>
    <Subject_x0020_ xmlns="0e656187-b300-4fb0-8bf4-3a50f872073c">GSCU Update March 2019</Subject_x0020_>
    <Project_x0020_Identification_x0020__x002f__x0020_Reference xmlns="0e656187-b300-4fb0-8bf4-3a50f872073c">GSCU</Project_x0020_Identification_x0020__x002f__x0020_Reference>
  </documentManagement>
</p:properties>
</file>

<file path=customXml/item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p14="http://schemas.microsoft.com/office/word/2010/wordprocessingDrawing" xmlns:a="http://schemas.openxmlformats.org/drawingml/2006/main"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r="http://schemas.openxmlformats.org/officeDocument/2006/relationships" SelectedStyle="\APA.XSL" StyleName="APA"/>
</file>

<file path=customXml/itemProps1.xml><?xml version="1.0" encoding="utf-8"?>
<ds:datastoreItem xmlns:ds="http://schemas.openxmlformats.org/officeDocument/2006/customXml" ds:itemID="{666BD8A2-CCC9-4EE0-AB5E-8E7711D847B6}">
  <ds:schemaRefs>
    <ds:schemaRef ds:uri="http://schemas.microsoft.com/sharepoint/v3/contenttype/forms"/>
  </ds:schemaRefs>
</ds:datastoreItem>
</file>

<file path=customXml/itemProps2.xml><?xml version="1.0" encoding="utf-8"?>
<ds:datastoreItem xmlns:ds="http://schemas.openxmlformats.org/officeDocument/2006/customXml" ds:itemID="{429BA270-D512-405E-A4A4-A3B1A297F738}">
  <ds:schemaRefs>
    <ds:schemaRef ds:uri="http://schemas.microsoft.com/office/2006/metadata/contentType"/>
    <ds:schemaRef ds:uri="http://schemas.microsoft.com/office/2006/metadata/properties/metaAttributes"/>
    <ds:schemaRef ds:uri="http://www.w3.org/2001/XMLSchema"/>
    <ds:schemaRef ds:uri="0e656187-b300-4fb0-8bf4-3a50f872073c"/>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130B6B1-9490-44D4-8043-68CBF0018E88}">
  <ds:schemaRefs>
    <ds:schemaRef ds:uri="http://schemas.microsoft.com/office/2006/metadata/properties"/>
    <ds:schemaRef ds:uri="http://schemas.microsoft.com/office/infopath/2007/PartnerControls"/>
    <ds:schemaRef ds:uri="0e656187-b300-4fb0-8bf4-3a50f872073c"/>
  </ds:schemaRefs>
</ds:datastoreItem>
</file>

<file path=customXml/itemProps4.xml><?xml version="1.0" encoding="utf-8"?>
<ds:datastoreItem xmlns:ds="http://schemas.openxmlformats.org/officeDocument/2006/customXml" ds:itemID="{6009E2A3-933D-4F6E-B0D2-809EEE05F3B4}">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microsoft.com/office/word/2010/wordml"/>
    <ds:schemaRef ds:uri="http://schemas.openxmlformats.org/officeDocument/2006/math"/>
    <ds:schemaRef ds:uri="http://schemas.microsoft.com/office/word/2012/wordml"/>
    <ds:schemaRef ds:uri="http://schemas.openxmlformats.org/wordprocessingml/2006/main"/>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4069</Words>
  <Characters>23198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27213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Novenario</dc:creator>
  <cp:lastModifiedBy>Mingyue Chen</cp:lastModifiedBy>
  <cp:revision>2</cp:revision>
  <cp:lastPrinted>2019-08-21T18:51:00Z</cp:lastPrinted>
  <dcterms:created xsi:type="dcterms:W3CDTF">2020-02-26T14:57:00Z</dcterms:created>
  <dcterms:modified xsi:type="dcterms:W3CDTF">2020-02-26T14:57:00Z</dcterms:modified>
</cp:coreProperties>
</file>